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CE3E5" w14:textId="7405BE67" w:rsidR="00FD1167" w:rsidRPr="009E7CB1" w:rsidRDefault="009E7CB1" w:rsidP="009E7CB1">
      <w:pPr>
        <w:spacing w:line="264" w:lineRule="auto"/>
        <w:rPr>
          <w:rFonts w:ascii="Bebas Neue" w:eastAsia="Calibri" w:hAnsi="Bebas Neue" w:cs="Arial"/>
          <w:color w:val="000000" w:themeColor="text1"/>
          <w:sz w:val="48"/>
          <w:szCs w:val="48"/>
        </w:rPr>
      </w:pPr>
      <w:r>
        <w:rPr>
          <w:rFonts w:ascii="Bebas Neue" w:eastAsia="Calibri" w:hAnsi="Bebas Neue" w:cs="Arial"/>
          <w:color w:val="000000" w:themeColor="text1"/>
          <w:sz w:val="48"/>
          <w:szCs w:val="48"/>
        </w:rPr>
        <w:t>Wie Ihnen Ihr Installateur derzeit hilft,</w:t>
      </w:r>
      <w:r w:rsidR="0043002A">
        <w:rPr>
          <w:rFonts w:ascii="Bebas Neue" w:eastAsia="Calibri" w:hAnsi="Bebas Neue" w:cs="Arial"/>
          <w:color w:val="000000" w:themeColor="text1"/>
          <w:sz w:val="48"/>
          <w:szCs w:val="48"/>
        </w:rPr>
        <w:br/>
      </w:r>
      <w:r w:rsidR="00D9167E">
        <w:rPr>
          <w:rFonts w:ascii="Bebas Neue" w:eastAsia="Calibri" w:hAnsi="Bebas Neue" w:cs="Arial"/>
          <w:color w:val="000000" w:themeColor="text1"/>
          <w:sz w:val="48"/>
          <w:szCs w:val="48"/>
        </w:rPr>
        <w:t>E</w:t>
      </w:r>
      <w:r>
        <w:rPr>
          <w:rFonts w:ascii="Bebas Neue" w:eastAsia="Calibri" w:hAnsi="Bebas Neue" w:cs="Arial"/>
          <w:color w:val="000000" w:themeColor="text1"/>
          <w:sz w:val="48"/>
          <w:szCs w:val="48"/>
        </w:rPr>
        <w:t>nergiekosten zu sparen</w:t>
      </w:r>
    </w:p>
    <w:p w14:paraId="13E033EA" w14:textId="277F4035" w:rsidR="001E0992" w:rsidRPr="00E71CB0" w:rsidRDefault="001E0992" w:rsidP="009E7CB1">
      <w:pPr>
        <w:spacing w:line="264" w:lineRule="auto"/>
        <w:rPr>
          <w:rFonts w:ascii="Nunito SemiBold" w:hAnsi="Nunito SemiBold" w:cs="Arial"/>
          <w:b/>
          <w:bCs/>
        </w:rPr>
      </w:pPr>
    </w:p>
    <w:p w14:paraId="57CEEF71" w14:textId="77848F42" w:rsidR="00156EC2" w:rsidRPr="00AB2AF1" w:rsidRDefault="00047933" w:rsidP="009E7CB1">
      <w:pPr>
        <w:spacing w:line="264" w:lineRule="auto"/>
        <w:rPr>
          <w:rFonts w:ascii="Dax Pro Regular" w:hAnsi="Dax Pro Regular" w:cs="Arial"/>
          <w:b/>
          <w:bCs/>
          <w:sz w:val="28"/>
          <w:szCs w:val="28"/>
        </w:rPr>
      </w:pPr>
      <w:r>
        <w:rPr>
          <w:rFonts w:ascii="Dax Pro Regular" w:hAnsi="Dax Pro Regular" w:cs="Arial"/>
          <w:b/>
          <w:bCs/>
          <w:sz w:val="28"/>
          <w:szCs w:val="28"/>
        </w:rPr>
        <w:t xml:space="preserve">Damit </w:t>
      </w:r>
      <w:r w:rsidR="0043002A">
        <w:rPr>
          <w:rFonts w:ascii="Dax Pro Regular" w:hAnsi="Dax Pro Regular" w:cs="Arial"/>
          <w:b/>
          <w:bCs/>
          <w:sz w:val="28"/>
          <w:szCs w:val="28"/>
        </w:rPr>
        <w:t>Heizen</w:t>
      </w:r>
      <w:r>
        <w:rPr>
          <w:rFonts w:ascii="Dax Pro Regular" w:hAnsi="Dax Pro Regular" w:cs="Arial"/>
          <w:b/>
          <w:bCs/>
          <w:sz w:val="28"/>
          <w:szCs w:val="28"/>
        </w:rPr>
        <w:t xml:space="preserve"> nicht zur Kostenfalle w</w:t>
      </w:r>
      <w:r w:rsidR="00FC7C15">
        <w:rPr>
          <w:rFonts w:ascii="Dax Pro Regular" w:hAnsi="Dax Pro Regular" w:cs="Arial"/>
          <w:b/>
          <w:bCs/>
          <w:sz w:val="28"/>
          <w:szCs w:val="28"/>
        </w:rPr>
        <w:t>ird</w:t>
      </w:r>
    </w:p>
    <w:p w14:paraId="3C6D4AFE" w14:textId="77777777" w:rsidR="00F839D6" w:rsidRPr="000A7566" w:rsidRDefault="00F839D6" w:rsidP="009E7CB1">
      <w:pPr>
        <w:spacing w:line="264" w:lineRule="auto"/>
        <w:rPr>
          <w:rFonts w:ascii="Dax Pro Regular" w:hAnsi="Dax Pro Regular" w:cs="Arial"/>
          <w:b/>
          <w:bCs/>
        </w:rPr>
      </w:pPr>
    </w:p>
    <w:p w14:paraId="04BAFD02" w14:textId="3216749D" w:rsidR="00156EC2" w:rsidRPr="000A7566" w:rsidRDefault="000A7566" w:rsidP="009E7CB1">
      <w:pPr>
        <w:spacing w:line="264" w:lineRule="auto"/>
        <w:rPr>
          <w:rFonts w:ascii="Dax Pro Regular" w:hAnsi="Dax Pro Regular" w:cs="Arial"/>
          <w:sz w:val="22"/>
          <w:szCs w:val="22"/>
        </w:rPr>
      </w:pPr>
      <w:r w:rsidRPr="000A7566">
        <w:rPr>
          <w:rFonts w:ascii="Dax Pro Regular" w:hAnsi="Dax Pro Regular" w:cs="Arial"/>
          <w:sz w:val="22"/>
          <w:szCs w:val="22"/>
        </w:rPr>
        <w:t>St. Veit/Glan</w:t>
      </w:r>
      <w:r w:rsidR="00CD39ED" w:rsidRPr="000A7566">
        <w:rPr>
          <w:rFonts w:ascii="Dax Pro Regular" w:hAnsi="Dax Pro Regular" w:cs="Arial"/>
          <w:sz w:val="22"/>
          <w:szCs w:val="22"/>
        </w:rPr>
        <w:t xml:space="preserve"> </w:t>
      </w:r>
      <w:r w:rsidR="00156EC2" w:rsidRPr="000A7566">
        <w:rPr>
          <w:rFonts w:ascii="Dax Pro Regular" w:hAnsi="Dax Pro Regular" w:cs="Arial"/>
          <w:sz w:val="22"/>
          <w:szCs w:val="22"/>
        </w:rPr>
        <w:t>|</w:t>
      </w:r>
      <w:r w:rsidR="005641E6" w:rsidRPr="000A7566">
        <w:rPr>
          <w:rFonts w:ascii="Dax Pro Regular" w:hAnsi="Dax Pro Regular" w:cs="Arial"/>
          <w:sz w:val="22"/>
          <w:szCs w:val="22"/>
        </w:rPr>
        <w:t xml:space="preserve"> </w:t>
      </w:r>
      <w:r w:rsidRPr="000A7566">
        <w:rPr>
          <w:rFonts w:ascii="Dax Pro Regular" w:hAnsi="Dax Pro Regular" w:cs="Arial"/>
          <w:sz w:val="22"/>
          <w:szCs w:val="22"/>
        </w:rPr>
        <w:t>1</w:t>
      </w:r>
      <w:r w:rsidR="00D93577">
        <w:rPr>
          <w:rFonts w:ascii="Dax Pro Regular" w:hAnsi="Dax Pro Regular" w:cs="Arial"/>
          <w:sz w:val="22"/>
          <w:szCs w:val="22"/>
        </w:rPr>
        <w:t>2</w:t>
      </w:r>
      <w:r w:rsidR="00156EC2" w:rsidRPr="000A7566">
        <w:rPr>
          <w:rFonts w:ascii="Dax Pro Regular" w:hAnsi="Dax Pro Regular" w:cs="Arial"/>
          <w:sz w:val="22"/>
          <w:szCs w:val="22"/>
        </w:rPr>
        <w:t xml:space="preserve">. </w:t>
      </w:r>
      <w:r w:rsidRPr="000A7566">
        <w:rPr>
          <w:rFonts w:ascii="Dax Pro Regular" w:hAnsi="Dax Pro Regular" w:cs="Arial"/>
          <w:sz w:val="22"/>
          <w:szCs w:val="22"/>
        </w:rPr>
        <w:t>Dez</w:t>
      </w:r>
      <w:r w:rsidR="00156EC2" w:rsidRPr="000A7566">
        <w:rPr>
          <w:rFonts w:ascii="Dax Pro Regular" w:hAnsi="Dax Pro Regular" w:cs="Arial"/>
          <w:sz w:val="22"/>
          <w:szCs w:val="22"/>
        </w:rPr>
        <w:t>ember 2022</w:t>
      </w:r>
    </w:p>
    <w:p w14:paraId="201AB590" w14:textId="441E73FF" w:rsidR="00156EC2" w:rsidRPr="000A7566" w:rsidRDefault="00156EC2" w:rsidP="009E7CB1">
      <w:pPr>
        <w:spacing w:line="264" w:lineRule="auto"/>
        <w:rPr>
          <w:rFonts w:ascii="Dax Pro Regular" w:hAnsi="Dax Pro Regular" w:cs="Arial"/>
          <w:sz w:val="22"/>
          <w:szCs w:val="22"/>
        </w:rPr>
      </w:pPr>
    </w:p>
    <w:p w14:paraId="5F54C797" w14:textId="19453B33" w:rsidR="009E7CB1" w:rsidRPr="00010393" w:rsidRDefault="00FC7C15" w:rsidP="009E7CB1">
      <w:pPr>
        <w:spacing w:line="264" w:lineRule="auto"/>
        <w:rPr>
          <w:rFonts w:ascii="Dax Pro Regular" w:hAnsi="Dax Pro Regular" w:cs="Arial"/>
          <w:b/>
          <w:bCs/>
          <w:sz w:val="22"/>
          <w:szCs w:val="22"/>
        </w:rPr>
      </w:pPr>
      <w:r>
        <w:rPr>
          <w:rFonts w:ascii="Dax Pro Regular" w:hAnsi="Dax Pro Regular" w:cs="Arial"/>
          <w:b/>
          <w:bCs/>
          <w:sz w:val="22"/>
          <w:szCs w:val="22"/>
        </w:rPr>
        <w:t>HSH</w:t>
      </w:r>
      <w:r w:rsidR="009E7CB1" w:rsidRPr="00010393">
        <w:rPr>
          <w:rFonts w:ascii="Dax Pro Regular" w:hAnsi="Dax Pro Regular" w:cs="Arial"/>
          <w:b/>
          <w:bCs/>
          <w:sz w:val="22"/>
          <w:szCs w:val="22"/>
        </w:rPr>
        <w:t xml:space="preserve"> bring</w:t>
      </w:r>
      <w:r>
        <w:rPr>
          <w:rFonts w:ascii="Dax Pro Regular" w:hAnsi="Dax Pro Regular" w:cs="Arial"/>
          <w:b/>
          <w:bCs/>
          <w:sz w:val="22"/>
          <w:szCs w:val="22"/>
        </w:rPr>
        <w:t>t</w:t>
      </w:r>
      <w:r w:rsidR="009E7CB1" w:rsidRPr="00010393">
        <w:rPr>
          <w:rFonts w:ascii="Dax Pro Regular" w:hAnsi="Dax Pro Regular" w:cs="Arial"/>
          <w:b/>
          <w:bCs/>
          <w:sz w:val="22"/>
          <w:szCs w:val="22"/>
        </w:rPr>
        <w:t xml:space="preserve"> das „Ö“ in die Installatöre, denn der Zusammenschluss aus</w:t>
      </w:r>
      <w:r w:rsidR="000A7566" w:rsidRPr="00010393">
        <w:rPr>
          <w:rFonts w:ascii="Dax Pro Regular" w:hAnsi="Dax Pro Regular" w:cs="Arial"/>
          <w:b/>
          <w:bCs/>
          <w:sz w:val="22"/>
          <w:szCs w:val="22"/>
        </w:rPr>
        <w:t xml:space="preserve"> aktuell 91 Installationsbetrieben </w:t>
      </w:r>
      <w:r w:rsidR="00B521EF" w:rsidRPr="00010393">
        <w:rPr>
          <w:rFonts w:ascii="Dax Pro Regular" w:hAnsi="Dax Pro Regular" w:cs="Arial"/>
          <w:b/>
          <w:bCs/>
          <w:sz w:val="22"/>
          <w:szCs w:val="22"/>
        </w:rPr>
        <w:t>in</w:t>
      </w:r>
      <w:r w:rsidR="000A7566" w:rsidRPr="00010393">
        <w:rPr>
          <w:rFonts w:ascii="Dax Pro Regular" w:hAnsi="Dax Pro Regular" w:cs="Arial"/>
          <w:b/>
          <w:bCs/>
          <w:sz w:val="22"/>
          <w:szCs w:val="22"/>
        </w:rPr>
        <w:t xml:space="preserve"> ganz Österreich ist stark regional verankert. </w:t>
      </w:r>
      <w:r w:rsidR="00B521EF" w:rsidRPr="00010393">
        <w:rPr>
          <w:rFonts w:ascii="Dax Pro Regular" w:hAnsi="Dax Pro Regular" w:cs="Arial"/>
          <w:b/>
          <w:bCs/>
          <w:sz w:val="22"/>
          <w:szCs w:val="22"/>
        </w:rPr>
        <w:t xml:space="preserve">Die </w:t>
      </w:r>
      <w:r>
        <w:rPr>
          <w:rFonts w:ascii="Dax Pro Regular" w:hAnsi="Dax Pro Regular" w:cs="Arial"/>
          <w:b/>
          <w:bCs/>
          <w:sz w:val="22"/>
          <w:szCs w:val="22"/>
        </w:rPr>
        <w:t>Kooperation</w:t>
      </w:r>
      <w:r w:rsidR="00B521EF" w:rsidRPr="00010393">
        <w:rPr>
          <w:rFonts w:ascii="Dax Pro Regular" w:hAnsi="Dax Pro Regular" w:cs="Arial"/>
          <w:b/>
          <w:bCs/>
          <w:sz w:val="22"/>
          <w:szCs w:val="22"/>
        </w:rPr>
        <w:t xml:space="preserve"> hat es sich zur Aufgabe gemacht, die Energiewende mit ihre</w:t>
      </w:r>
      <w:r w:rsidR="005F6D73" w:rsidRPr="00010393">
        <w:rPr>
          <w:rFonts w:ascii="Dax Pro Regular" w:hAnsi="Dax Pro Regular" w:cs="Arial"/>
          <w:b/>
          <w:bCs/>
          <w:sz w:val="22"/>
          <w:szCs w:val="22"/>
        </w:rPr>
        <w:t xml:space="preserve">m Angebot voranzutreiben. Das Bewusstsein in der Bevölkerung ist groß, die Nachfrage nach Heizungsumrüstungen ebenso. Befeuert durch die Preisexplosion bei fossilen Brennstoffen ist das Know-how der Installateur:innen gefragt wie selten zuvor. </w:t>
      </w:r>
      <w:r w:rsidR="00010393">
        <w:rPr>
          <w:rFonts w:ascii="Dax Pro Regular" w:hAnsi="Dax Pro Regular" w:cs="Arial"/>
          <w:b/>
          <w:bCs/>
          <w:sz w:val="22"/>
          <w:szCs w:val="22"/>
        </w:rPr>
        <w:t xml:space="preserve">Sie haben auch eine Reihe schnell umsetzbarer Soforttipps parat, die helfen, </w:t>
      </w:r>
      <w:r w:rsidR="00A535C2">
        <w:rPr>
          <w:rFonts w:ascii="Dax Pro Regular" w:hAnsi="Dax Pro Regular" w:cs="Arial"/>
          <w:b/>
          <w:bCs/>
          <w:sz w:val="22"/>
          <w:szCs w:val="22"/>
        </w:rPr>
        <w:t xml:space="preserve">auch kurzfristig </w:t>
      </w:r>
      <w:r w:rsidR="00010393">
        <w:rPr>
          <w:rFonts w:ascii="Dax Pro Regular" w:hAnsi="Dax Pro Regular" w:cs="Arial"/>
          <w:b/>
          <w:bCs/>
          <w:sz w:val="22"/>
          <w:szCs w:val="22"/>
        </w:rPr>
        <w:t>in der aktuellen Heizsaison Energie und Kosten einzusparen.</w:t>
      </w:r>
    </w:p>
    <w:p w14:paraId="20BDDE9E" w14:textId="2F122A18" w:rsidR="000A7566" w:rsidRPr="000A7566" w:rsidRDefault="000A7566" w:rsidP="009E7CB1">
      <w:pPr>
        <w:spacing w:line="264" w:lineRule="auto"/>
        <w:rPr>
          <w:rFonts w:ascii="Dax Pro Regular" w:hAnsi="Dax Pro Regular" w:cs="Arial"/>
          <w:sz w:val="22"/>
          <w:szCs w:val="22"/>
        </w:rPr>
      </w:pPr>
    </w:p>
    <w:p w14:paraId="1BA88723" w14:textId="115B71CD" w:rsidR="00937F23" w:rsidRDefault="00937F23" w:rsidP="009E7CB1">
      <w:pPr>
        <w:spacing w:line="264" w:lineRule="auto"/>
        <w:rPr>
          <w:rFonts w:ascii="Dax Pro Regular" w:hAnsi="Dax Pro Regular" w:cs="Arial"/>
          <w:sz w:val="22"/>
          <w:szCs w:val="22"/>
        </w:rPr>
      </w:pPr>
      <w:r>
        <w:rPr>
          <w:rFonts w:ascii="Dax Pro Regular" w:hAnsi="Dax Pro Regular" w:cs="Arial"/>
          <w:sz w:val="22"/>
          <w:szCs w:val="22"/>
        </w:rPr>
        <w:t xml:space="preserve">„Wir setzen uns seit einem Vierteljahrhundert für intelligente und nachhaltige Haustechnik ein. Von Beginn an haben wir erneuerbare Energien forciert, lange bevor das Thema in der öffentlichen Wahrnehmung angekommen ist“, blickt </w:t>
      </w:r>
      <w:r w:rsidR="00730B50">
        <w:rPr>
          <w:rFonts w:ascii="Dax Pro Regular" w:hAnsi="Dax Pro Regular" w:cs="Arial"/>
          <w:sz w:val="22"/>
          <w:szCs w:val="22"/>
        </w:rPr>
        <w:t xml:space="preserve">Geschäftsführer und </w:t>
      </w:r>
      <w:r>
        <w:rPr>
          <w:rFonts w:ascii="Dax Pro Regular" w:hAnsi="Dax Pro Regular" w:cs="Arial"/>
          <w:sz w:val="22"/>
          <w:szCs w:val="22"/>
        </w:rPr>
        <w:t xml:space="preserve">Gründer Rudolf M. Rattenberger auf die </w:t>
      </w:r>
      <w:r w:rsidR="00730B50">
        <w:rPr>
          <w:rFonts w:ascii="Dax Pro Regular" w:hAnsi="Dax Pro Regular" w:cs="Arial"/>
          <w:sz w:val="22"/>
          <w:szCs w:val="22"/>
        </w:rPr>
        <w:t>Anfangszeit der HSH-Installatöre zurück. Heute braucht es auf Seite der Konsument</w:t>
      </w:r>
      <w:r w:rsidR="00FC7C15">
        <w:rPr>
          <w:rFonts w:ascii="Dax Pro Regular" w:hAnsi="Dax Pro Regular" w:cs="Arial"/>
          <w:sz w:val="22"/>
          <w:szCs w:val="22"/>
        </w:rPr>
        <w:t>:inn</w:t>
      </w:r>
      <w:r w:rsidR="00730B50">
        <w:rPr>
          <w:rFonts w:ascii="Dax Pro Regular" w:hAnsi="Dax Pro Regular" w:cs="Arial"/>
          <w:sz w:val="22"/>
          <w:szCs w:val="22"/>
        </w:rPr>
        <w:t xml:space="preserve">en nur mehr wenig Überzeugungsarbeit – ganz im Gegenteil. Die Auftragsbücher für nachhaltige Heizsysteme sind voll und übersteigen </w:t>
      </w:r>
      <w:r w:rsidR="007D2727">
        <w:rPr>
          <w:rFonts w:ascii="Dax Pro Regular" w:hAnsi="Dax Pro Regular" w:cs="Arial"/>
          <w:sz w:val="22"/>
          <w:szCs w:val="22"/>
        </w:rPr>
        <w:t>zum Teil</w:t>
      </w:r>
      <w:r w:rsidR="00730B50">
        <w:rPr>
          <w:rFonts w:ascii="Dax Pro Regular" w:hAnsi="Dax Pro Regular" w:cs="Arial"/>
          <w:sz w:val="22"/>
          <w:szCs w:val="22"/>
        </w:rPr>
        <w:t xml:space="preserve"> die Kapazitäten der einzelnen Betriebe, sowohl was personelle als auch </w:t>
      </w:r>
      <w:r w:rsidR="007D2727">
        <w:rPr>
          <w:rFonts w:ascii="Dax Pro Regular" w:hAnsi="Dax Pro Regular" w:cs="Arial"/>
          <w:sz w:val="22"/>
          <w:szCs w:val="22"/>
        </w:rPr>
        <w:t>materielle R</w:t>
      </w:r>
      <w:r w:rsidR="00730B50">
        <w:rPr>
          <w:rFonts w:ascii="Dax Pro Regular" w:hAnsi="Dax Pro Regular" w:cs="Arial"/>
          <w:sz w:val="22"/>
          <w:szCs w:val="22"/>
        </w:rPr>
        <w:t>essourcen betrifft.</w:t>
      </w:r>
      <w:r w:rsidR="007D2727">
        <w:rPr>
          <w:rFonts w:ascii="Dax Pro Regular" w:hAnsi="Dax Pro Regular" w:cs="Arial"/>
          <w:sz w:val="22"/>
          <w:szCs w:val="22"/>
        </w:rPr>
        <w:t xml:space="preserve"> Auch wenn mitunter Wartezeiten in Kauf genommen werden müssen – der Installateur, die Installateurin ist Ansprechperson Nummer 1, wenn es </w:t>
      </w:r>
      <w:r w:rsidR="00723607">
        <w:rPr>
          <w:rFonts w:ascii="Dax Pro Regular" w:hAnsi="Dax Pro Regular" w:cs="Arial"/>
          <w:sz w:val="22"/>
          <w:szCs w:val="22"/>
        </w:rPr>
        <w:t xml:space="preserve">darum geht, Sparpotentiale beim Heizen der eigenen vier Wände auszuloten und </w:t>
      </w:r>
      <w:r w:rsidR="00E604A1">
        <w:rPr>
          <w:rFonts w:ascii="Dax Pro Regular" w:hAnsi="Dax Pro Regular" w:cs="Arial"/>
          <w:sz w:val="22"/>
          <w:szCs w:val="22"/>
        </w:rPr>
        <w:t>bereits mit einfachen Maßnahmen</w:t>
      </w:r>
      <w:r w:rsidR="00723607">
        <w:rPr>
          <w:rFonts w:ascii="Dax Pro Regular" w:hAnsi="Dax Pro Regular" w:cs="Arial"/>
          <w:sz w:val="22"/>
          <w:szCs w:val="22"/>
        </w:rPr>
        <w:t xml:space="preserve"> Energiekosten einzusparen.</w:t>
      </w:r>
    </w:p>
    <w:p w14:paraId="167A2818" w14:textId="6760D71D" w:rsidR="00723607" w:rsidRDefault="00723607" w:rsidP="009E7CB1">
      <w:pPr>
        <w:spacing w:line="264" w:lineRule="auto"/>
        <w:rPr>
          <w:rFonts w:ascii="Dax Pro Regular" w:hAnsi="Dax Pro Regular" w:cs="Arial"/>
          <w:sz w:val="22"/>
          <w:szCs w:val="22"/>
        </w:rPr>
      </w:pPr>
    </w:p>
    <w:p w14:paraId="09296ECC" w14:textId="7E003679" w:rsidR="00723607" w:rsidRPr="0062602B" w:rsidRDefault="0062602B" w:rsidP="009E7CB1">
      <w:pPr>
        <w:spacing w:line="264" w:lineRule="auto"/>
        <w:rPr>
          <w:rFonts w:ascii="Dax Pro Regular" w:hAnsi="Dax Pro Regular" w:cs="Arial"/>
          <w:b/>
          <w:bCs/>
          <w:sz w:val="22"/>
          <w:szCs w:val="22"/>
        </w:rPr>
      </w:pPr>
      <w:r w:rsidRPr="0062602B">
        <w:rPr>
          <w:rFonts w:ascii="Dax Pro Regular" w:hAnsi="Dax Pro Regular" w:cs="Arial"/>
          <w:b/>
          <w:bCs/>
          <w:sz w:val="22"/>
          <w:szCs w:val="22"/>
        </w:rPr>
        <w:t>Auf das F</w:t>
      </w:r>
      <w:r w:rsidR="008A078E">
        <w:rPr>
          <w:rFonts w:ascii="Dax Pro Regular" w:hAnsi="Dax Pro Regular" w:cs="Arial"/>
          <w:b/>
          <w:bCs/>
          <w:sz w:val="22"/>
          <w:szCs w:val="22"/>
        </w:rPr>
        <w:t>ein</w:t>
      </w:r>
      <w:r w:rsidRPr="0062602B">
        <w:rPr>
          <w:rFonts w:ascii="Dax Pro Regular" w:hAnsi="Dax Pro Regular" w:cs="Arial"/>
          <w:b/>
          <w:bCs/>
          <w:sz w:val="22"/>
          <w:szCs w:val="22"/>
        </w:rPr>
        <w:t>tuning kommt es an</w:t>
      </w:r>
    </w:p>
    <w:p w14:paraId="26C9BF93" w14:textId="0C2C7B0F" w:rsidR="0062602B" w:rsidRDefault="0062602B" w:rsidP="009E7CB1">
      <w:pPr>
        <w:spacing w:line="264" w:lineRule="auto"/>
        <w:rPr>
          <w:rFonts w:ascii="Dax Pro Regular" w:hAnsi="Dax Pro Regular" w:cs="Arial"/>
          <w:sz w:val="22"/>
          <w:szCs w:val="22"/>
        </w:rPr>
      </w:pPr>
    </w:p>
    <w:p w14:paraId="32D236CE" w14:textId="1B7A4250" w:rsidR="002D6C52" w:rsidRDefault="00192A02" w:rsidP="009E7CB1">
      <w:pPr>
        <w:spacing w:line="264" w:lineRule="auto"/>
        <w:rPr>
          <w:rFonts w:ascii="Dax Pro Regular" w:hAnsi="Dax Pro Regular" w:cs="Arial"/>
          <w:sz w:val="22"/>
          <w:szCs w:val="22"/>
        </w:rPr>
      </w:pPr>
      <w:r>
        <w:rPr>
          <w:rFonts w:ascii="Dax Pro Regular" w:hAnsi="Dax Pro Regular" w:cs="Arial"/>
          <w:sz w:val="22"/>
          <w:szCs w:val="22"/>
        </w:rPr>
        <w:t xml:space="preserve">Die Energieeffizienz </w:t>
      </w:r>
      <w:r w:rsidR="007D1E6D">
        <w:rPr>
          <w:rFonts w:ascii="Dax Pro Regular" w:hAnsi="Dax Pro Regular" w:cs="Arial"/>
          <w:sz w:val="22"/>
          <w:szCs w:val="22"/>
        </w:rPr>
        <w:t>von</w:t>
      </w:r>
      <w:r>
        <w:rPr>
          <w:rFonts w:ascii="Dax Pro Regular" w:hAnsi="Dax Pro Regular" w:cs="Arial"/>
          <w:sz w:val="22"/>
          <w:szCs w:val="22"/>
        </w:rPr>
        <w:t xml:space="preserve"> Gebäuden ist durch die anhaltende Energiekrise </w:t>
      </w:r>
      <w:r w:rsidR="007D1E6D">
        <w:rPr>
          <w:rFonts w:ascii="Dax Pro Regular" w:hAnsi="Dax Pro Regular" w:cs="Arial"/>
          <w:sz w:val="22"/>
          <w:szCs w:val="22"/>
        </w:rPr>
        <w:t xml:space="preserve">vermehrt </w:t>
      </w:r>
      <w:r>
        <w:rPr>
          <w:rFonts w:ascii="Dax Pro Regular" w:hAnsi="Dax Pro Regular" w:cs="Arial"/>
          <w:sz w:val="22"/>
          <w:szCs w:val="22"/>
        </w:rPr>
        <w:t xml:space="preserve">in den </w:t>
      </w:r>
      <w:r w:rsidR="007D1E6D">
        <w:rPr>
          <w:rFonts w:ascii="Dax Pro Regular" w:hAnsi="Dax Pro Regular" w:cs="Arial"/>
          <w:sz w:val="22"/>
          <w:szCs w:val="22"/>
        </w:rPr>
        <w:t>Fokus</w:t>
      </w:r>
      <w:r>
        <w:rPr>
          <w:rFonts w:ascii="Dax Pro Regular" w:hAnsi="Dax Pro Regular" w:cs="Arial"/>
          <w:sz w:val="22"/>
          <w:szCs w:val="22"/>
        </w:rPr>
        <w:t xml:space="preserve"> gerückt. </w:t>
      </w:r>
      <w:r w:rsidR="007D1E6D">
        <w:rPr>
          <w:rFonts w:ascii="Dax Pro Regular" w:hAnsi="Dax Pro Regular" w:cs="Arial"/>
          <w:sz w:val="22"/>
          <w:szCs w:val="22"/>
        </w:rPr>
        <w:t xml:space="preserve">Installateur:innen können an mehreren Stellschrauben drehen, um </w:t>
      </w:r>
      <w:r w:rsidR="00FB3480">
        <w:rPr>
          <w:rFonts w:ascii="Dax Pro Regular" w:hAnsi="Dax Pro Regular" w:cs="Arial"/>
          <w:sz w:val="22"/>
          <w:szCs w:val="22"/>
        </w:rPr>
        <w:t xml:space="preserve">Sanitär-, Heizungs- und Klimatechnik zu optimieren und den Bewohner:innen dadurch unnötige Kosten zu ersparen. Der hydraulische Abgleich der Heizung etwa sorgt dafür, dass alle Heizkörper und anderen Abnehmer gleichmäßig mit der richtigen Wassermenge versorgt werden. </w:t>
      </w:r>
      <w:r w:rsidR="00A22597">
        <w:rPr>
          <w:rFonts w:ascii="Dax Pro Regular" w:hAnsi="Dax Pro Regular" w:cs="Arial"/>
          <w:sz w:val="22"/>
          <w:szCs w:val="22"/>
        </w:rPr>
        <w:t xml:space="preserve">Ungleich durchströmte Heizkörper, wie sie besonders </w:t>
      </w:r>
      <w:r w:rsidR="00D93577">
        <w:rPr>
          <w:rFonts w:ascii="Dax Pro Regular" w:hAnsi="Dax Pro Regular" w:cs="Arial"/>
          <w:sz w:val="22"/>
          <w:szCs w:val="22"/>
        </w:rPr>
        <w:t xml:space="preserve">häufig </w:t>
      </w:r>
      <w:r w:rsidR="00A22597">
        <w:rPr>
          <w:rFonts w:ascii="Dax Pro Regular" w:hAnsi="Dax Pro Regular" w:cs="Arial"/>
          <w:sz w:val="22"/>
          <w:szCs w:val="22"/>
        </w:rPr>
        <w:t>im Altbau zu finden sind, führen zu schlechter Wärmeverteilung und unnötig hohem Verbrauch</w:t>
      </w:r>
      <w:r w:rsidR="009C7EDB">
        <w:rPr>
          <w:rFonts w:ascii="Dax Pro Regular" w:hAnsi="Dax Pro Regular" w:cs="Arial"/>
          <w:sz w:val="22"/>
          <w:szCs w:val="22"/>
        </w:rPr>
        <w:t xml:space="preserve">. Heizungspumpen laufen nicht selten rund um die Uhr, um durch höhere Leistung auch entlegenere Räume zu erreichen. </w:t>
      </w:r>
      <w:r w:rsidR="002D6C52">
        <w:rPr>
          <w:rFonts w:ascii="Dax Pro Regular" w:hAnsi="Dax Pro Regular" w:cs="Arial"/>
          <w:sz w:val="22"/>
          <w:szCs w:val="22"/>
        </w:rPr>
        <w:t>Wird die Heizung vom Profi einreguliert, lassen sich bis zu 20 Prozent an Heizkosten einsparen.</w:t>
      </w:r>
    </w:p>
    <w:p w14:paraId="5B626F96" w14:textId="77777777" w:rsidR="002D6C52" w:rsidRDefault="002D6C52" w:rsidP="009E7CB1">
      <w:pPr>
        <w:spacing w:line="264" w:lineRule="auto"/>
        <w:rPr>
          <w:rFonts w:ascii="Dax Pro Regular" w:hAnsi="Dax Pro Regular" w:cs="Arial"/>
          <w:sz w:val="22"/>
          <w:szCs w:val="22"/>
        </w:rPr>
      </w:pPr>
    </w:p>
    <w:p w14:paraId="21799EA1" w14:textId="2D80DF00" w:rsidR="00192A02" w:rsidRDefault="002D6C52" w:rsidP="009E7CB1">
      <w:pPr>
        <w:spacing w:line="264" w:lineRule="auto"/>
        <w:rPr>
          <w:rFonts w:ascii="Dax Pro Regular" w:hAnsi="Dax Pro Regular" w:cs="Arial"/>
          <w:sz w:val="22"/>
          <w:szCs w:val="22"/>
        </w:rPr>
      </w:pPr>
      <w:r>
        <w:rPr>
          <w:rFonts w:ascii="Dax Pro Regular" w:hAnsi="Dax Pro Regular" w:cs="Arial"/>
          <w:sz w:val="22"/>
          <w:szCs w:val="22"/>
        </w:rPr>
        <w:lastRenderedPageBreak/>
        <w:t xml:space="preserve">Auch bei der Heizungspumpe selbst kann angesetzt werden. </w:t>
      </w:r>
      <w:r w:rsidR="009C7EDB">
        <w:rPr>
          <w:rFonts w:ascii="Dax Pro Regular" w:hAnsi="Dax Pro Regular" w:cs="Arial"/>
          <w:sz w:val="22"/>
          <w:szCs w:val="22"/>
        </w:rPr>
        <w:t>Stiftung Warentest identifiziert die herkömmliche Heizungspumpe als gr</w:t>
      </w:r>
      <w:r w:rsidR="00D93577">
        <w:rPr>
          <w:rFonts w:ascii="Dax Pro Regular" w:hAnsi="Dax Pro Regular" w:cs="Arial"/>
          <w:sz w:val="22"/>
          <w:szCs w:val="22"/>
        </w:rPr>
        <w:t>o</w:t>
      </w:r>
      <w:r w:rsidR="009C7EDB">
        <w:rPr>
          <w:rFonts w:ascii="Dax Pro Regular" w:hAnsi="Dax Pro Regular" w:cs="Arial"/>
          <w:sz w:val="22"/>
          <w:szCs w:val="22"/>
        </w:rPr>
        <w:t xml:space="preserve">ßen Stromfresser im Einfamilienhaus. </w:t>
      </w:r>
      <w:r>
        <w:rPr>
          <w:rFonts w:ascii="Dax Pro Regular" w:hAnsi="Dax Pro Regular" w:cs="Arial"/>
          <w:sz w:val="22"/>
          <w:szCs w:val="22"/>
        </w:rPr>
        <w:t>Der Tausch gegen ein neues, energiesparendes Modell bringt eine schnelle Verbesserung der Effizienz.</w:t>
      </w:r>
      <w:r w:rsidR="00DB3C9D">
        <w:rPr>
          <w:rFonts w:ascii="Dax Pro Regular" w:hAnsi="Dax Pro Regular" w:cs="Arial"/>
          <w:sz w:val="22"/>
          <w:szCs w:val="22"/>
        </w:rPr>
        <w:t xml:space="preserve"> Im Sanitärbereich sind es </w:t>
      </w:r>
      <w:r w:rsidR="00FC7C15">
        <w:rPr>
          <w:rFonts w:ascii="Dax Pro Regular" w:hAnsi="Dax Pro Regular" w:cs="Arial"/>
          <w:sz w:val="22"/>
          <w:szCs w:val="22"/>
        </w:rPr>
        <w:t>einfache Maßnahmen wie Wasserspararmaturen oder Zweimengen-Toilettenspülungen, die den Verbrauch und somit Kosten senken.</w:t>
      </w:r>
    </w:p>
    <w:p w14:paraId="29565058" w14:textId="6F54F910" w:rsidR="00965D0D" w:rsidRDefault="00965D0D" w:rsidP="009E7CB1">
      <w:pPr>
        <w:spacing w:line="264" w:lineRule="auto"/>
        <w:rPr>
          <w:rFonts w:ascii="Dax Pro Regular" w:hAnsi="Dax Pro Regular" w:cs="Arial"/>
          <w:sz w:val="22"/>
          <w:szCs w:val="22"/>
        </w:rPr>
      </w:pPr>
    </w:p>
    <w:p w14:paraId="29E3C463" w14:textId="764976D8" w:rsidR="00965D0D" w:rsidRPr="00965D0D" w:rsidRDefault="00965D0D" w:rsidP="009E7CB1">
      <w:pPr>
        <w:spacing w:line="264" w:lineRule="auto"/>
        <w:rPr>
          <w:rFonts w:ascii="Dax Pro Regular" w:hAnsi="Dax Pro Regular" w:cs="Arial"/>
          <w:b/>
          <w:bCs/>
          <w:sz w:val="22"/>
          <w:szCs w:val="22"/>
        </w:rPr>
      </w:pPr>
      <w:r w:rsidRPr="00965D0D">
        <w:rPr>
          <w:rFonts w:ascii="Dax Pro Regular" w:hAnsi="Dax Pro Regular" w:cs="Arial"/>
          <w:b/>
          <w:bCs/>
          <w:sz w:val="22"/>
          <w:szCs w:val="22"/>
        </w:rPr>
        <w:t>Nach dem Winter ist vor dem Winter</w:t>
      </w:r>
    </w:p>
    <w:p w14:paraId="1362453B" w14:textId="148FD14D" w:rsidR="002947BB" w:rsidRDefault="002947BB" w:rsidP="009E7CB1">
      <w:pPr>
        <w:spacing w:line="264" w:lineRule="auto"/>
        <w:rPr>
          <w:rFonts w:ascii="Dax Pro Regular" w:hAnsi="Dax Pro Regular" w:cs="Arial"/>
          <w:sz w:val="22"/>
          <w:szCs w:val="22"/>
        </w:rPr>
      </w:pPr>
    </w:p>
    <w:p w14:paraId="0B3F6499" w14:textId="501C9B93" w:rsidR="00033A68" w:rsidRDefault="00DF56E4" w:rsidP="009E7CB1">
      <w:pPr>
        <w:spacing w:line="264" w:lineRule="auto"/>
        <w:rPr>
          <w:rFonts w:ascii="Dax Pro Regular" w:hAnsi="Dax Pro Regular" w:cs="Arial"/>
          <w:sz w:val="22"/>
          <w:szCs w:val="22"/>
        </w:rPr>
      </w:pPr>
      <w:r>
        <w:rPr>
          <w:rFonts w:ascii="Dax Pro Regular" w:hAnsi="Dax Pro Regular" w:cs="Arial"/>
          <w:sz w:val="22"/>
          <w:szCs w:val="22"/>
        </w:rPr>
        <w:t xml:space="preserve">Die aktuelle Energiekrise </w:t>
      </w:r>
      <w:r w:rsidR="00C228DB">
        <w:rPr>
          <w:rFonts w:ascii="Dax Pro Regular" w:hAnsi="Dax Pro Regular" w:cs="Arial"/>
          <w:sz w:val="22"/>
          <w:szCs w:val="22"/>
        </w:rPr>
        <w:t xml:space="preserve">mit damit verbundenen Preissprüngen lässt viele Hausbesitzer:innen </w:t>
      </w:r>
      <w:r w:rsidR="00DB3C9D">
        <w:rPr>
          <w:rFonts w:ascii="Dax Pro Regular" w:hAnsi="Dax Pro Regular" w:cs="Arial"/>
          <w:sz w:val="22"/>
          <w:szCs w:val="22"/>
        </w:rPr>
        <w:t xml:space="preserve">bereits an zukünftige Winter und </w:t>
      </w:r>
      <w:r w:rsidR="00C228DB">
        <w:rPr>
          <w:rFonts w:ascii="Dax Pro Regular" w:hAnsi="Dax Pro Regular" w:cs="Arial"/>
          <w:sz w:val="22"/>
          <w:szCs w:val="22"/>
        </w:rPr>
        <w:t xml:space="preserve">über einen Ausstieg aus Gas und Öl nachdenken. Anreize dazu gibt es nicht zuletzt von der Politik, die eine Reihe von Förderprogrammen für den Umstieg auf erneuerbare Energien ins Leben gerufen hat. Der Prozess der Energiewende wird von </w:t>
      </w:r>
      <w:r w:rsidR="00E854AA">
        <w:rPr>
          <w:rFonts w:ascii="Dax Pro Regular" w:hAnsi="Dax Pro Regular" w:cs="Arial"/>
          <w:sz w:val="22"/>
          <w:szCs w:val="22"/>
        </w:rPr>
        <w:t xml:space="preserve">Installateur:innen </w:t>
      </w:r>
      <w:r w:rsidR="00C228DB">
        <w:rPr>
          <w:rFonts w:ascii="Dax Pro Regular" w:hAnsi="Dax Pro Regular" w:cs="Arial"/>
          <w:sz w:val="22"/>
          <w:szCs w:val="22"/>
        </w:rPr>
        <w:t xml:space="preserve">entscheidend mitgestaltet, </w:t>
      </w:r>
      <w:r w:rsidR="00E854AA">
        <w:rPr>
          <w:rFonts w:ascii="Dax Pro Regular" w:hAnsi="Dax Pro Regular" w:cs="Arial"/>
          <w:sz w:val="22"/>
          <w:szCs w:val="22"/>
        </w:rPr>
        <w:t xml:space="preserve">indem sie </w:t>
      </w:r>
      <w:r w:rsidR="00C228DB">
        <w:rPr>
          <w:rFonts w:ascii="Dax Pro Regular" w:hAnsi="Dax Pro Regular" w:cs="Arial"/>
          <w:sz w:val="22"/>
          <w:szCs w:val="22"/>
        </w:rPr>
        <w:t xml:space="preserve">sowohl bei Neubau als auch Sanierung </w:t>
      </w:r>
      <w:r w:rsidR="00E854AA">
        <w:rPr>
          <w:rFonts w:ascii="Dax Pro Regular" w:hAnsi="Dax Pro Regular" w:cs="Arial"/>
          <w:sz w:val="22"/>
          <w:szCs w:val="22"/>
        </w:rPr>
        <w:t>umfassend beraten und Gebäude mit innovativer</w:t>
      </w:r>
      <w:r w:rsidR="00DB3C9D">
        <w:rPr>
          <w:rFonts w:ascii="Dax Pro Regular" w:hAnsi="Dax Pro Regular" w:cs="Arial"/>
          <w:sz w:val="22"/>
          <w:szCs w:val="22"/>
        </w:rPr>
        <w:t>, energiesparender</w:t>
      </w:r>
      <w:r w:rsidR="00E854AA">
        <w:rPr>
          <w:rFonts w:ascii="Dax Pro Regular" w:hAnsi="Dax Pro Regular" w:cs="Arial"/>
          <w:sz w:val="22"/>
          <w:szCs w:val="22"/>
        </w:rPr>
        <w:t xml:space="preserve"> Sanitär-, Heizungs- und Klimatechnik ausstatten</w:t>
      </w:r>
      <w:r w:rsidR="002947BB" w:rsidRPr="002947BB">
        <w:rPr>
          <w:rFonts w:ascii="Dax Pro Regular" w:hAnsi="Dax Pro Regular" w:cs="Arial"/>
          <w:sz w:val="22"/>
          <w:szCs w:val="22"/>
        </w:rPr>
        <w:t xml:space="preserve">. </w:t>
      </w:r>
      <w:r w:rsidR="002947BB">
        <w:rPr>
          <w:rFonts w:ascii="Dax Pro Regular" w:hAnsi="Dax Pro Regular" w:cs="Arial"/>
          <w:sz w:val="22"/>
          <w:szCs w:val="22"/>
        </w:rPr>
        <w:t>HSH hat es sich zur Aufgabe gemacht</w:t>
      </w:r>
      <w:r w:rsidR="002947BB" w:rsidRPr="002947BB">
        <w:rPr>
          <w:rFonts w:ascii="Dax Pro Regular" w:hAnsi="Dax Pro Regular" w:cs="Arial"/>
          <w:sz w:val="22"/>
          <w:szCs w:val="22"/>
        </w:rPr>
        <w:t xml:space="preserve">, für </w:t>
      </w:r>
      <w:r w:rsidR="002947BB">
        <w:rPr>
          <w:rFonts w:ascii="Dax Pro Regular" w:hAnsi="Dax Pro Regular" w:cs="Arial"/>
          <w:sz w:val="22"/>
          <w:szCs w:val="22"/>
        </w:rPr>
        <w:t>jede</w:t>
      </w:r>
      <w:r w:rsidR="00DB3C9D">
        <w:rPr>
          <w:rFonts w:ascii="Dax Pro Regular" w:hAnsi="Dax Pro Regular" w:cs="Arial"/>
          <w:sz w:val="22"/>
          <w:szCs w:val="22"/>
        </w:rPr>
        <w:t xml:space="preserve"> Ausgangssituation</w:t>
      </w:r>
      <w:r w:rsidR="002947BB" w:rsidRPr="002947BB">
        <w:rPr>
          <w:rFonts w:ascii="Dax Pro Regular" w:hAnsi="Dax Pro Regular" w:cs="Arial"/>
          <w:sz w:val="22"/>
          <w:szCs w:val="22"/>
        </w:rPr>
        <w:t xml:space="preserve"> </w:t>
      </w:r>
      <w:r w:rsidR="002947BB">
        <w:rPr>
          <w:rFonts w:ascii="Dax Pro Regular" w:hAnsi="Dax Pro Regular" w:cs="Arial"/>
          <w:sz w:val="22"/>
          <w:szCs w:val="22"/>
        </w:rPr>
        <w:t xml:space="preserve">die </w:t>
      </w:r>
      <w:r w:rsidR="002947BB" w:rsidRPr="002947BB">
        <w:rPr>
          <w:rFonts w:ascii="Dax Pro Regular" w:hAnsi="Dax Pro Regular" w:cs="Arial"/>
          <w:sz w:val="22"/>
          <w:szCs w:val="22"/>
        </w:rPr>
        <w:t>optimale Lösung zu finden</w:t>
      </w:r>
      <w:r w:rsidR="00DB3C9D">
        <w:rPr>
          <w:rFonts w:ascii="Dax Pro Regular" w:hAnsi="Dax Pro Regular" w:cs="Arial"/>
          <w:sz w:val="22"/>
          <w:szCs w:val="22"/>
        </w:rPr>
        <w:t xml:space="preserve"> und Kund:innen von der Planung über </w:t>
      </w:r>
      <w:r w:rsidR="00FC7C15">
        <w:rPr>
          <w:rFonts w:ascii="Dax Pro Regular" w:hAnsi="Dax Pro Regular" w:cs="Arial"/>
          <w:sz w:val="22"/>
          <w:szCs w:val="22"/>
        </w:rPr>
        <w:t xml:space="preserve">die Einbringung von </w:t>
      </w:r>
      <w:r w:rsidR="00DB3C9D">
        <w:rPr>
          <w:rFonts w:ascii="Dax Pro Regular" w:hAnsi="Dax Pro Regular" w:cs="Arial"/>
          <w:sz w:val="22"/>
          <w:szCs w:val="22"/>
        </w:rPr>
        <w:t>Förderanträge</w:t>
      </w:r>
      <w:r w:rsidR="00FC7C15">
        <w:rPr>
          <w:rFonts w:ascii="Dax Pro Regular" w:hAnsi="Dax Pro Regular" w:cs="Arial"/>
          <w:sz w:val="22"/>
          <w:szCs w:val="22"/>
        </w:rPr>
        <w:t>n</w:t>
      </w:r>
      <w:r w:rsidR="00DB3C9D">
        <w:rPr>
          <w:rFonts w:ascii="Dax Pro Regular" w:hAnsi="Dax Pro Regular" w:cs="Arial"/>
          <w:sz w:val="22"/>
          <w:szCs w:val="22"/>
        </w:rPr>
        <w:t xml:space="preserve"> bis hin zu Umsetzung und Servicierung kompetent zu begleiten.</w:t>
      </w:r>
    </w:p>
    <w:p w14:paraId="154F7921" w14:textId="77777777" w:rsidR="00730B50" w:rsidRDefault="00730B50" w:rsidP="009E7CB1">
      <w:pPr>
        <w:spacing w:line="264" w:lineRule="auto"/>
        <w:rPr>
          <w:rFonts w:ascii="Dax Pro Regular" w:hAnsi="Dax Pro Regular" w:cs="Arial"/>
          <w:sz w:val="22"/>
          <w:szCs w:val="22"/>
        </w:rPr>
      </w:pPr>
    </w:p>
    <w:p w14:paraId="19877CB0" w14:textId="028ECD43" w:rsidR="000A7566" w:rsidRDefault="000A7566" w:rsidP="009E7CB1">
      <w:pPr>
        <w:spacing w:line="264" w:lineRule="auto"/>
        <w:rPr>
          <w:rFonts w:ascii="Dax Pro Regular" w:hAnsi="Dax Pro Regular" w:cs="Arial"/>
          <w:sz w:val="22"/>
          <w:szCs w:val="22"/>
        </w:rPr>
      </w:pPr>
      <w:r w:rsidRPr="000A7566">
        <w:rPr>
          <w:rFonts w:ascii="Dax Pro Regular" w:hAnsi="Dax Pro Regular" w:cs="Arial"/>
          <w:sz w:val="22"/>
          <w:szCs w:val="22"/>
        </w:rPr>
        <w:t xml:space="preserve">Oliver Zobernig, </w:t>
      </w:r>
      <w:r w:rsidR="001C7679">
        <w:rPr>
          <w:rFonts w:ascii="Dax Pro Regular" w:hAnsi="Dax Pro Regular" w:cs="Arial"/>
          <w:sz w:val="22"/>
          <w:szCs w:val="22"/>
        </w:rPr>
        <w:t xml:space="preserve">Teil des </w:t>
      </w:r>
      <w:r w:rsidRPr="000A7566">
        <w:rPr>
          <w:rFonts w:ascii="Dax Pro Regular" w:hAnsi="Dax Pro Regular" w:cs="Arial"/>
          <w:sz w:val="22"/>
          <w:szCs w:val="22"/>
        </w:rPr>
        <w:t>Geschäftsführer</w:t>
      </w:r>
      <w:r w:rsidR="001C7679">
        <w:rPr>
          <w:rFonts w:ascii="Dax Pro Regular" w:hAnsi="Dax Pro Regular" w:cs="Arial"/>
          <w:sz w:val="22"/>
          <w:szCs w:val="22"/>
        </w:rPr>
        <w:t>-Duos bei HSH</w:t>
      </w:r>
      <w:r w:rsidR="00031FBB">
        <w:rPr>
          <w:rFonts w:ascii="Dax Pro Regular" w:hAnsi="Dax Pro Regular" w:cs="Arial"/>
          <w:sz w:val="22"/>
          <w:szCs w:val="22"/>
        </w:rPr>
        <w:t xml:space="preserve">, beschreibt die </w:t>
      </w:r>
      <w:r w:rsidR="00E854AA">
        <w:rPr>
          <w:rFonts w:ascii="Dax Pro Regular" w:hAnsi="Dax Pro Regular" w:cs="Arial"/>
          <w:sz w:val="22"/>
          <w:szCs w:val="22"/>
        </w:rPr>
        <w:t>Rolle der Partnerbetriebe in der Erreichung der Klimaziele</w:t>
      </w:r>
      <w:r w:rsidR="001C7679">
        <w:rPr>
          <w:rFonts w:ascii="Dax Pro Regular" w:hAnsi="Dax Pro Regular" w:cs="Arial"/>
          <w:sz w:val="22"/>
          <w:szCs w:val="22"/>
        </w:rPr>
        <w:t xml:space="preserve">: „Der typische </w:t>
      </w:r>
      <w:r w:rsidRPr="000A7566">
        <w:rPr>
          <w:rFonts w:ascii="Dax Pro Regular" w:hAnsi="Dax Pro Regular" w:cs="Arial"/>
          <w:sz w:val="22"/>
          <w:szCs w:val="22"/>
        </w:rPr>
        <w:t>HSH-</w:t>
      </w:r>
      <w:r w:rsidR="001C7679">
        <w:rPr>
          <w:rFonts w:ascii="Dax Pro Regular" w:hAnsi="Dax Pro Regular" w:cs="Arial"/>
          <w:sz w:val="22"/>
          <w:szCs w:val="22"/>
        </w:rPr>
        <w:t>Installatör ist ein Leitbetrieb in seiner Region und engagiert sich stark für den Einsatz erneuerbarer Energien in Form von Biomasseheizungen, Wärmepumpen, Solar</w:t>
      </w:r>
      <w:r w:rsidR="00E854AA">
        <w:rPr>
          <w:rFonts w:ascii="Dax Pro Regular" w:hAnsi="Dax Pro Regular" w:cs="Arial"/>
          <w:sz w:val="22"/>
          <w:szCs w:val="22"/>
        </w:rPr>
        <w:t>thermie</w:t>
      </w:r>
      <w:r w:rsidR="001C7679">
        <w:rPr>
          <w:rFonts w:ascii="Dax Pro Regular" w:hAnsi="Dax Pro Regular" w:cs="Arial"/>
          <w:sz w:val="22"/>
          <w:szCs w:val="22"/>
        </w:rPr>
        <w:t xml:space="preserve"> und Photovoltaik – alles, was man heute braucht, um zeitgemäß zu installieren.</w:t>
      </w:r>
      <w:r w:rsidR="00673DE1">
        <w:rPr>
          <w:rFonts w:ascii="Dax Pro Regular" w:hAnsi="Dax Pro Regular" w:cs="Arial"/>
          <w:sz w:val="22"/>
          <w:szCs w:val="22"/>
        </w:rPr>
        <w:t xml:space="preserve"> Der Ausstieg aus Öl und Gas kann nicht von heute auf morgen passieren, das ist vielmehr ein Prozess. Aber wir als Branche können Tag für Tag unseren Beitrag leisten.</w:t>
      </w:r>
      <w:r w:rsidR="00E854AA">
        <w:rPr>
          <w:rFonts w:ascii="Dax Pro Regular" w:hAnsi="Dax Pro Regular" w:cs="Arial"/>
          <w:sz w:val="22"/>
          <w:szCs w:val="22"/>
        </w:rPr>
        <w:t>“</w:t>
      </w:r>
    </w:p>
    <w:p w14:paraId="3FDEA93F" w14:textId="5C0FB259" w:rsidR="00937F23" w:rsidRDefault="00937F23" w:rsidP="009E7CB1">
      <w:pPr>
        <w:spacing w:line="264" w:lineRule="auto"/>
        <w:rPr>
          <w:rFonts w:ascii="Dax Pro Regular" w:hAnsi="Dax Pro Regular" w:cs="Arial"/>
          <w:sz w:val="22"/>
          <w:szCs w:val="22"/>
        </w:rPr>
      </w:pPr>
    </w:p>
    <w:p w14:paraId="66E59443" w14:textId="216F1E57" w:rsidR="000A7566" w:rsidRPr="000A7566" w:rsidRDefault="00B521EF" w:rsidP="009E7CB1">
      <w:pPr>
        <w:spacing w:line="264" w:lineRule="auto"/>
        <w:rPr>
          <w:rFonts w:ascii="Dax Pro Regular" w:hAnsi="Dax Pro Regular" w:cs="Arial"/>
          <w:sz w:val="22"/>
          <w:szCs w:val="22"/>
        </w:rPr>
      </w:pPr>
      <w:r>
        <w:rPr>
          <w:rFonts w:ascii="Dax Pro Regular" w:hAnsi="Dax Pro Regular" w:cs="Arial"/>
          <w:b/>
          <w:bCs/>
          <w:noProof/>
          <w:sz w:val="22"/>
          <w:szCs w:val="22"/>
        </w:rPr>
        <mc:AlternateContent>
          <mc:Choice Requires="wps">
            <w:drawing>
              <wp:anchor distT="0" distB="0" distL="114300" distR="114300" simplePos="0" relativeHeight="251666432" behindDoc="0" locked="0" layoutInCell="1" allowOverlap="1" wp14:anchorId="6F5E6438" wp14:editId="4F9E08E7">
                <wp:simplePos x="0" y="0"/>
                <wp:positionH relativeFrom="column">
                  <wp:posOffset>27517</wp:posOffset>
                </wp:positionH>
                <wp:positionV relativeFrom="paragraph">
                  <wp:posOffset>167217</wp:posOffset>
                </wp:positionV>
                <wp:extent cx="128270" cy="1415626"/>
                <wp:effectExtent l="0" t="0" r="0" b="0"/>
                <wp:wrapNone/>
                <wp:docPr id="10" name="Rechteck 10"/>
                <wp:cNvGraphicFramePr/>
                <a:graphic xmlns:a="http://schemas.openxmlformats.org/drawingml/2006/main">
                  <a:graphicData uri="http://schemas.microsoft.com/office/word/2010/wordprocessingShape">
                    <wps:wsp>
                      <wps:cNvSpPr/>
                      <wps:spPr>
                        <a:xfrm>
                          <a:off x="0" y="0"/>
                          <a:ext cx="128270" cy="1415626"/>
                        </a:xfrm>
                        <a:prstGeom prst="rect">
                          <a:avLst/>
                        </a:prstGeom>
                        <a:solidFill>
                          <a:srgbClr val="E320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EBE14" id="Rechteck 10" o:spid="_x0000_s1026" style="position:absolute;margin-left:2.15pt;margin-top:13.15pt;width:10.1pt;height:111.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" fillcolor="#e32029" stroked="f" strokeweight="1pt"/>
            </w:pict>
          </mc:Fallback>
        </mc:AlternateContent>
      </w:r>
    </w:p>
    <w:p w14:paraId="5A0762F2" w14:textId="4C72FD0F" w:rsidR="000A7566" w:rsidRPr="00B521EF" w:rsidRDefault="000A7566" w:rsidP="00B521EF">
      <w:pPr>
        <w:shd w:val="clear" w:color="auto" w:fill="D9D9D9" w:themeFill="background1" w:themeFillShade="D9"/>
        <w:spacing w:line="264" w:lineRule="auto"/>
        <w:ind w:left="426"/>
        <w:rPr>
          <w:rFonts w:ascii="Dax Pro Regular" w:hAnsi="Dax Pro Regular" w:cs="Arial"/>
          <w:b/>
          <w:bCs/>
          <w:color w:val="E30613"/>
          <w:sz w:val="22"/>
          <w:szCs w:val="22"/>
        </w:rPr>
      </w:pPr>
      <w:r w:rsidRPr="00B521EF">
        <w:rPr>
          <w:rFonts w:ascii="Dax Pro Regular" w:hAnsi="Dax Pro Regular" w:cs="Arial"/>
          <w:b/>
          <w:bCs/>
          <w:color w:val="E30613"/>
          <w:sz w:val="22"/>
          <w:szCs w:val="22"/>
        </w:rPr>
        <w:t>Über HSH</w:t>
      </w:r>
    </w:p>
    <w:p w14:paraId="37166F42" w14:textId="54113314" w:rsidR="0057029D" w:rsidRPr="00B521EF" w:rsidRDefault="000A7566" w:rsidP="00B521EF">
      <w:pPr>
        <w:shd w:val="clear" w:color="auto" w:fill="D9D9D9" w:themeFill="background1" w:themeFillShade="D9"/>
        <w:spacing w:line="264" w:lineRule="auto"/>
        <w:ind w:left="426"/>
        <w:rPr>
          <w:rFonts w:ascii="Dax Pro Regular" w:hAnsi="Dax Pro Regular" w:cs="Arial"/>
          <w:sz w:val="22"/>
          <w:szCs w:val="22"/>
        </w:rPr>
      </w:pPr>
      <w:r w:rsidRPr="000A7566">
        <w:rPr>
          <w:rFonts w:ascii="Dax Pro Regular" w:hAnsi="Dax Pro Regular" w:cs="Arial"/>
          <w:sz w:val="22"/>
          <w:szCs w:val="22"/>
        </w:rPr>
        <w:t xml:space="preserve">HSH steht für „Holz die Sonne ins Haus“ und </w:t>
      </w:r>
      <w:r w:rsidR="0057029D">
        <w:rPr>
          <w:rFonts w:ascii="Dax Pro Regular" w:hAnsi="Dax Pro Regular" w:cs="Arial"/>
          <w:sz w:val="22"/>
          <w:szCs w:val="22"/>
        </w:rPr>
        <w:t>ist ein Netzwerk österreichischer Installationsbetriebe, die sich seit 1998 der Förderung erneuerbarer Energie</w:t>
      </w:r>
      <w:r w:rsidR="00B521EF">
        <w:rPr>
          <w:rFonts w:ascii="Dax Pro Regular" w:hAnsi="Dax Pro Regular" w:cs="Arial"/>
          <w:sz w:val="22"/>
          <w:szCs w:val="22"/>
        </w:rPr>
        <w:t xml:space="preserve"> im Bauen und Wohnen verschreibt. An 100 Standorten in ganz Österreich sind mehr als 2000 „Installatöre“ der HSH-Partnerbetriebe als Möglichmacher der Energiewende im Einsatz. </w:t>
      </w:r>
      <w:r w:rsidR="00B521EF" w:rsidRPr="00B521EF">
        <w:rPr>
          <w:rFonts w:ascii="Dax Pro Regular" w:hAnsi="Dax Pro Regular" w:cs="Arial"/>
          <w:sz w:val="22"/>
          <w:szCs w:val="22"/>
        </w:rPr>
        <w:t>Neben Innovation und Nachhaltigkeit legt HSH einen besonderen Fokus darauf, das Berufsbild Installateur:in in seiner Vielfältigkeit zu vermitteln und als „Job der Zukunft“ positiv zu prägen.</w:t>
      </w:r>
    </w:p>
    <w:p w14:paraId="32F23FED" w14:textId="128B3939" w:rsidR="00CF6F6A" w:rsidRPr="000A7566" w:rsidRDefault="00CF6F6A" w:rsidP="009E7CB1">
      <w:pPr>
        <w:spacing w:line="264" w:lineRule="auto"/>
        <w:rPr>
          <w:rFonts w:ascii="Dax Pro Regular" w:hAnsi="Dax Pro Regular" w:cs="Arial"/>
          <w:sz w:val="22"/>
          <w:szCs w:val="22"/>
        </w:rPr>
      </w:pPr>
    </w:p>
    <w:p w14:paraId="6729C016" w14:textId="10354BED" w:rsidR="00862DF3" w:rsidRDefault="00862DF3">
      <w:pPr>
        <w:spacing w:after="160" w:line="259" w:lineRule="auto"/>
        <w:rPr>
          <w:rFonts w:ascii="Dax Pro Regular" w:hAnsi="Dax Pro Regular" w:cs="Arial"/>
          <w:sz w:val="22"/>
          <w:szCs w:val="22"/>
        </w:rPr>
      </w:pPr>
      <w:r>
        <w:rPr>
          <w:rFonts w:ascii="Dax Pro Regular" w:hAnsi="Dax Pro Regular" w:cs="Arial"/>
          <w:sz w:val="22"/>
          <w:szCs w:val="22"/>
        </w:rPr>
        <w:br w:type="page"/>
      </w:r>
    </w:p>
    <w:tbl>
      <w:tblPr>
        <w:tblStyle w:val="Tabellen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266"/>
      </w:tblGrid>
      <w:tr w:rsidR="00152767" w:rsidRPr="00AB6D4E" w14:paraId="65031257" w14:textId="77777777" w:rsidTr="001728B3">
        <w:tc>
          <w:tcPr>
            <w:tcW w:w="5796" w:type="dxa"/>
            <w:vAlign w:val="bottom"/>
          </w:tcPr>
          <w:p w14:paraId="262E65DB" w14:textId="1A526872" w:rsidR="00152767" w:rsidRPr="00AB6D4E" w:rsidRDefault="00152767" w:rsidP="009E7CB1">
            <w:pPr>
              <w:pStyle w:val="FormatvorlageCIArial11pt"/>
              <w:spacing w:before="0" w:after="0" w:line="264" w:lineRule="auto"/>
              <w:ind w:right="-1"/>
              <w:rPr>
                <w:rFonts w:ascii="Helvetica" w:hAnsi="Helvetica"/>
              </w:rPr>
            </w:pPr>
            <w:r w:rsidRPr="00AB6D4E">
              <w:rPr>
                <w:rFonts w:ascii="Helvetica" w:hAnsi="Helvetica"/>
                <w:noProof/>
              </w:rPr>
              <w:lastRenderedPageBreak/>
              <w:drawing>
                <wp:anchor distT="0" distB="0" distL="114300" distR="114300" simplePos="0" relativeHeight="251659264" behindDoc="0" locked="0" layoutInCell="1" allowOverlap="1" wp14:anchorId="41E38AAB" wp14:editId="26DBA1E3">
                  <wp:simplePos x="0" y="0"/>
                  <wp:positionH relativeFrom="margin">
                    <wp:posOffset>466090</wp:posOffset>
                  </wp:positionH>
                  <wp:positionV relativeFrom="margin">
                    <wp:posOffset>-82550</wp:posOffset>
                  </wp:positionV>
                  <wp:extent cx="2163445" cy="206756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445" cy="2067560"/>
                          </a:xfrm>
                          <a:prstGeom prst="rect">
                            <a:avLst/>
                          </a:prstGeom>
                        </pic:spPr>
                      </pic:pic>
                    </a:graphicData>
                  </a:graphic>
                  <wp14:sizeRelH relativeFrom="margin">
                    <wp14:pctWidth>0</wp14:pctWidth>
                  </wp14:sizeRelH>
                  <wp14:sizeRelV relativeFrom="margin">
                    <wp14:pctHeight>0</wp14:pctHeight>
                  </wp14:sizeRelV>
                </wp:anchor>
              </w:drawing>
            </w:r>
          </w:p>
          <w:p w14:paraId="5D0643F8" w14:textId="61929D36" w:rsidR="00152767" w:rsidRPr="00AB6D4E" w:rsidRDefault="00152767" w:rsidP="009E7CB1">
            <w:pPr>
              <w:pStyle w:val="FormatvorlageCIArial11pt"/>
              <w:spacing w:before="0" w:after="0" w:line="264" w:lineRule="auto"/>
              <w:ind w:right="-1"/>
              <w:rPr>
                <w:rFonts w:ascii="Helvetica" w:hAnsi="Helvetica"/>
              </w:rPr>
            </w:pPr>
          </w:p>
        </w:tc>
        <w:tc>
          <w:tcPr>
            <w:tcW w:w="3266" w:type="dxa"/>
          </w:tcPr>
          <w:p w14:paraId="344274F6" w14:textId="77777777" w:rsidR="007D2F67" w:rsidRDefault="007D2F67" w:rsidP="009E7CB1">
            <w:pPr>
              <w:spacing w:line="264" w:lineRule="auto"/>
              <w:rPr>
                <w:rFonts w:ascii="Nunito Light" w:hAnsi="Nunito Light" w:cs="Arial"/>
                <w:sz w:val="16"/>
              </w:rPr>
            </w:pPr>
          </w:p>
          <w:p w14:paraId="546A70E3" w14:textId="77BBCA5D" w:rsidR="00152767" w:rsidRPr="00E71CB0" w:rsidRDefault="00152767" w:rsidP="009E7CB1">
            <w:pPr>
              <w:spacing w:line="264" w:lineRule="auto"/>
              <w:rPr>
                <w:rFonts w:ascii="Nunito Light" w:hAnsi="Nunito Light" w:cs="Arial"/>
                <w:sz w:val="16"/>
              </w:rPr>
            </w:pPr>
            <w:r w:rsidRPr="00E71CB0">
              <w:rPr>
                <w:rFonts w:ascii="Nunito Light" w:hAnsi="Nunito Light" w:cs="Arial"/>
                <w:sz w:val="16"/>
              </w:rPr>
              <w:t xml:space="preserve">Bild: </w:t>
            </w:r>
            <w:r w:rsidR="007D2F67">
              <w:rPr>
                <w:rFonts w:ascii="Nunito Light" w:hAnsi="Nunito Light" w:cs="Arial"/>
                <w:sz w:val="16"/>
              </w:rPr>
              <w:t>HSH_Geschäftsführung</w:t>
            </w:r>
          </w:p>
          <w:p w14:paraId="12798E9B" w14:textId="77777777" w:rsidR="00152767" w:rsidRPr="00E71CB0" w:rsidRDefault="00152767" w:rsidP="009E7CB1">
            <w:pPr>
              <w:spacing w:line="264" w:lineRule="auto"/>
              <w:rPr>
                <w:rFonts w:ascii="Nunito Light" w:hAnsi="Nunito Light" w:cs="Arial"/>
                <w:sz w:val="16"/>
              </w:rPr>
            </w:pPr>
          </w:p>
          <w:p w14:paraId="120A5551" w14:textId="181B35EB" w:rsidR="00636CDC" w:rsidRPr="00636CDC" w:rsidRDefault="001062B3" w:rsidP="009E7CB1">
            <w:pPr>
              <w:spacing w:line="264" w:lineRule="auto"/>
              <w:rPr>
                <w:rFonts w:ascii="Nunito Light" w:hAnsi="Nunito Light" w:cs="Arial"/>
                <w:sz w:val="16"/>
              </w:rPr>
            </w:pPr>
            <w:r>
              <w:rPr>
                <w:rFonts w:ascii="Nunito Light" w:hAnsi="Nunito Light" w:cs="Arial"/>
                <w:sz w:val="16"/>
              </w:rPr>
              <w:t xml:space="preserve">Ing. </w:t>
            </w:r>
            <w:r w:rsidR="007D2F67">
              <w:rPr>
                <w:rFonts w:ascii="Nunito Light" w:hAnsi="Nunito Light" w:cs="Arial"/>
                <w:sz w:val="16"/>
              </w:rPr>
              <w:t xml:space="preserve">Rudolf M. Rattenberger und Dipl.-Ing. Oliver Zobernig, MBA, leiten gemeinsam </w:t>
            </w:r>
            <w:r w:rsidR="00850DF8">
              <w:rPr>
                <w:rFonts w:ascii="Nunito Light" w:hAnsi="Nunito Light" w:cs="Arial"/>
                <w:sz w:val="16"/>
              </w:rPr>
              <w:t>das Installationsnetzwerk „Holz die Sonne ins Haus“.</w:t>
            </w:r>
          </w:p>
          <w:p w14:paraId="00A085AF" w14:textId="77777777" w:rsidR="00152767" w:rsidRPr="00A662B0" w:rsidRDefault="00152767" w:rsidP="009E7CB1">
            <w:pPr>
              <w:spacing w:line="264" w:lineRule="auto"/>
              <w:rPr>
                <w:rFonts w:ascii="Nunito Light" w:hAnsi="Nunito Light" w:cs="Arial"/>
                <w:sz w:val="16"/>
              </w:rPr>
            </w:pPr>
          </w:p>
          <w:p w14:paraId="293533F0" w14:textId="3BE60411" w:rsidR="00152767" w:rsidRPr="00E71CB0" w:rsidRDefault="00152767" w:rsidP="009E7CB1">
            <w:pPr>
              <w:spacing w:line="264" w:lineRule="auto"/>
              <w:rPr>
                <w:rFonts w:ascii="Nunito Light" w:hAnsi="Nunito Light" w:cs="Arial"/>
                <w:sz w:val="16"/>
              </w:rPr>
            </w:pPr>
            <w:r w:rsidRPr="00E71CB0">
              <w:rPr>
                <w:rFonts w:ascii="Nunito Light" w:hAnsi="Nunito Light" w:cs="Arial"/>
                <w:sz w:val="16"/>
              </w:rPr>
              <w:t xml:space="preserve">© </w:t>
            </w:r>
            <w:r w:rsidR="007D2F67">
              <w:rPr>
                <w:rFonts w:ascii="Nunito Light" w:hAnsi="Nunito Light" w:cs="Arial"/>
                <w:sz w:val="16"/>
              </w:rPr>
              <w:t>HSH Energieconsulting GmbH</w:t>
            </w:r>
          </w:p>
          <w:p w14:paraId="79163BDA" w14:textId="77777777" w:rsidR="00152767" w:rsidRPr="00AB6D4E" w:rsidRDefault="00152767" w:rsidP="009E7CB1">
            <w:pPr>
              <w:spacing w:line="264" w:lineRule="auto"/>
              <w:rPr>
                <w:rFonts w:ascii="Helvetica" w:hAnsi="Helvetica" w:cs="Arial"/>
                <w:sz w:val="16"/>
              </w:rPr>
            </w:pPr>
          </w:p>
        </w:tc>
      </w:tr>
      <w:tr w:rsidR="00AB6D4E" w:rsidRPr="00AB6D4E" w14:paraId="77AB44DA" w14:textId="77777777" w:rsidTr="001728B3">
        <w:tc>
          <w:tcPr>
            <w:tcW w:w="5796" w:type="dxa"/>
            <w:vAlign w:val="center"/>
          </w:tcPr>
          <w:p w14:paraId="181652CC" w14:textId="3096F78B" w:rsidR="00AB6D4E" w:rsidRPr="00AB2AF1" w:rsidRDefault="00AF313C" w:rsidP="009E7CB1">
            <w:pPr>
              <w:pStyle w:val="FormatvorlageCIArial11pt"/>
              <w:spacing w:before="0" w:after="0" w:line="264" w:lineRule="auto"/>
              <w:ind w:right="-1"/>
              <w:rPr>
                <w:rFonts w:ascii="Helvetica" w:hAnsi="Helvetica"/>
                <w:color w:val="E32029"/>
                <w:highlight w:val="yellow"/>
              </w:rPr>
            </w:pPr>
            <w:r w:rsidRPr="00AB2AF1">
              <w:rPr>
                <w:rFonts w:ascii="Helvetica" w:hAnsi="Helvetica"/>
                <w:noProof/>
                <w:color w:val="E32029"/>
              </w:rPr>
              <w:drawing>
                <wp:anchor distT="0" distB="0" distL="114300" distR="114300" simplePos="0" relativeHeight="251665408" behindDoc="0" locked="0" layoutInCell="1" allowOverlap="1" wp14:anchorId="75F5C654" wp14:editId="19785AD7">
                  <wp:simplePos x="0" y="0"/>
                  <wp:positionH relativeFrom="margin">
                    <wp:posOffset>-635</wp:posOffset>
                  </wp:positionH>
                  <wp:positionV relativeFrom="margin">
                    <wp:posOffset>161925</wp:posOffset>
                  </wp:positionV>
                  <wp:extent cx="3187065" cy="2124710"/>
                  <wp:effectExtent l="0" t="0" r="63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7065" cy="2124710"/>
                          </a:xfrm>
                          <a:prstGeom prst="rect">
                            <a:avLst/>
                          </a:prstGeom>
                        </pic:spPr>
                      </pic:pic>
                    </a:graphicData>
                  </a:graphic>
                  <wp14:sizeRelH relativeFrom="margin">
                    <wp14:pctWidth>0</wp14:pctWidth>
                  </wp14:sizeRelH>
                  <wp14:sizeRelV relativeFrom="margin">
                    <wp14:pctHeight>0</wp14:pctHeight>
                  </wp14:sizeRelV>
                </wp:anchor>
              </w:drawing>
            </w:r>
          </w:p>
        </w:tc>
        <w:tc>
          <w:tcPr>
            <w:tcW w:w="3266" w:type="dxa"/>
          </w:tcPr>
          <w:p w14:paraId="3590F7FF" w14:textId="77777777" w:rsidR="00B72063" w:rsidRDefault="00B72063" w:rsidP="009E7CB1">
            <w:pPr>
              <w:spacing w:line="264" w:lineRule="auto"/>
              <w:rPr>
                <w:rFonts w:ascii="Nunito Light" w:hAnsi="Nunito Light" w:cs="Arial"/>
                <w:sz w:val="16"/>
              </w:rPr>
            </w:pPr>
          </w:p>
          <w:p w14:paraId="7DC2AE86" w14:textId="2E9AF395" w:rsidR="00AB6D4E" w:rsidRPr="00E71CB0" w:rsidRDefault="00AB6D4E" w:rsidP="009E7CB1">
            <w:pPr>
              <w:spacing w:line="264" w:lineRule="auto"/>
              <w:rPr>
                <w:rFonts w:ascii="Nunito Light" w:hAnsi="Nunito Light" w:cs="Arial"/>
                <w:sz w:val="16"/>
              </w:rPr>
            </w:pPr>
            <w:r w:rsidRPr="00E71CB0">
              <w:rPr>
                <w:rFonts w:ascii="Nunito Light" w:hAnsi="Nunito Light" w:cs="Arial"/>
                <w:sz w:val="16"/>
              </w:rPr>
              <w:t xml:space="preserve">Bild: </w:t>
            </w:r>
            <w:r w:rsidR="00FC7C15">
              <w:rPr>
                <w:rFonts w:ascii="Nunito Light" w:hAnsi="Nunito Light" w:cs="Arial"/>
                <w:sz w:val="16"/>
              </w:rPr>
              <w:t>Heizungstausch</w:t>
            </w:r>
          </w:p>
          <w:p w14:paraId="30AE3EAC" w14:textId="77777777" w:rsidR="00AB6D4E" w:rsidRPr="00E71CB0" w:rsidRDefault="00AB6D4E" w:rsidP="009E7CB1">
            <w:pPr>
              <w:spacing w:line="264" w:lineRule="auto"/>
              <w:rPr>
                <w:rFonts w:ascii="Nunito Light" w:hAnsi="Nunito Light" w:cs="Arial"/>
                <w:sz w:val="16"/>
              </w:rPr>
            </w:pPr>
          </w:p>
          <w:p w14:paraId="4DBEC624" w14:textId="097F653D" w:rsidR="00AB6D4E" w:rsidRDefault="00DB3C9D" w:rsidP="009E7CB1">
            <w:pPr>
              <w:spacing w:line="264" w:lineRule="auto"/>
              <w:rPr>
                <w:rFonts w:ascii="Nunito Light" w:hAnsi="Nunito Light" w:cs="Arial"/>
                <w:sz w:val="16"/>
              </w:rPr>
            </w:pPr>
            <w:r>
              <w:rPr>
                <w:rFonts w:ascii="Nunito Light" w:hAnsi="Nunito Light" w:cs="Arial"/>
                <w:sz w:val="16"/>
              </w:rPr>
              <w:t>Ein eigener „rot-heiß-roter“ Online-Heizungsplaner zeigt in nur wenigen Klicks, welche Heizsysteme ideal zu welchem Zuhause passen und beziffert CO</w:t>
            </w:r>
            <w:r w:rsidRPr="00DB3C9D">
              <w:rPr>
                <w:rFonts w:ascii="Nunito Light" w:hAnsi="Nunito Light" w:cs="Arial"/>
                <w:sz w:val="16"/>
                <w:vertAlign w:val="subscript"/>
              </w:rPr>
              <w:t>2</w:t>
            </w:r>
            <w:r>
              <w:rPr>
                <w:rFonts w:ascii="Nunito Light" w:hAnsi="Nunito Light" w:cs="Arial"/>
                <w:sz w:val="16"/>
              </w:rPr>
              <w:t>-Ausstoß, Investitions- und Betriebskosten.</w:t>
            </w:r>
          </w:p>
          <w:p w14:paraId="2AC430F7" w14:textId="77777777" w:rsidR="00AB6D4E" w:rsidRPr="00E71CB0" w:rsidRDefault="00AB6D4E" w:rsidP="009E7CB1">
            <w:pPr>
              <w:spacing w:line="264" w:lineRule="auto"/>
              <w:rPr>
                <w:rFonts w:ascii="Nunito Light" w:hAnsi="Nunito Light" w:cs="Arial"/>
                <w:sz w:val="16"/>
              </w:rPr>
            </w:pPr>
          </w:p>
          <w:p w14:paraId="2B730C4A" w14:textId="22D71D2C" w:rsidR="00AB6D4E" w:rsidRPr="00AB6D4E" w:rsidRDefault="00AB6D4E" w:rsidP="009E7CB1">
            <w:pPr>
              <w:spacing w:line="264" w:lineRule="auto"/>
              <w:rPr>
                <w:rFonts w:ascii="Helvetica" w:hAnsi="Helvetica" w:cs="Arial"/>
                <w:sz w:val="16"/>
              </w:rPr>
            </w:pPr>
            <w:r w:rsidRPr="00E71CB0">
              <w:rPr>
                <w:rFonts w:ascii="Nunito Light" w:hAnsi="Nunito Light" w:cs="Arial"/>
                <w:sz w:val="16"/>
              </w:rPr>
              <w:t xml:space="preserve">© </w:t>
            </w:r>
            <w:r w:rsidR="007D2F67">
              <w:rPr>
                <w:rFonts w:ascii="Nunito Light" w:hAnsi="Nunito Light" w:cs="Arial"/>
                <w:sz w:val="16"/>
              </w:rPr>
              <w:t>HSH Energieconsulting GmbH</w:t>
            </w:r>
            <w:r w:rsidR="007D2F67" w:rsidRPr="00AB6D4E">
              <w:rPr>
                <w:rFonts w:ascii="Helvetica" w:hAnsi="Helvetica" w:cs="Arial"/>
                <w:sz w:val="16"/>
              </w:rPr>
              <w:t xml:space="preserve"> </w:t>
            </w:r>
          </w:p>
        </w:tc>
      </w:tr>
    </w:tbl>
    <w:p w14:paraId="414BEEE5" w14:textId="2C60A78E" w:rsidR="00E24CEE" w:rsidRDefault="00E24CEE" w:rsidP="009E7CB1">
      <w:pPr>
        <w:spacing w:line="264" w:lineRule="auto"/>
        <w:jc w:val="both"/>
        <w:rPr>
          <w:rFonts w:ascii="Dax Pro Regular" w:hAnsi="Dax Pro Regular" w:cs="Arial"/>
          <w:sz w:val="22"/>
          <w:szCs w:val="22"/>
        </w:rPr>
      </w:pPr>
    </w:p>
    <w:p w14:paraId="1308D02D" w14:textId="77777777" w:rsidR="00862DF3" w:rsidRDefault="00862DF3" w:rsidP="009E7CB1">
      <w:pPr>
        <w:spacing w:line="264" w:lineRule="auto"/>
        <w:jc w:val="both"/>
        <w:rPr>
          <w:rFonts w:ascii="Dax Pro Regular" w:hAnsi="Dax Pro Regular" w:cs="Arial"/>
          <w:sz w:val="22"/>
          <w:szCs w:val="22"/>
        </w:rPr>
      </w:pPr>
    </w:p>
    <w:p w14:paraId="13F40A8A" w14:textId="77777777" w:rsidR="008128D4" w:rsidRPr="000A7566" w:rsidRDefault="008128D4" w:rsidP="009E7CB1">
      <w:pPr>
        <w:spacing w:line="264" w:lineRule="auto"/>
        <w:jc w:val="both"/>
        <w:rPr>
          <w:rFonts w:ascii="Dax Pro Regular" w:hAnsi="Dax Pro Regular" w:cs="Arial"/>
          <w:sz w:val="22"/>
          <w:szCs w:val="22"/>
        </w:rPr>
      </w:pPr>
    </w:p>
    <w:p w14:paraId="5520460D" w14:textId="70877AB4" w:rsidR="005F298F" w:rsidRPr="00937F23" w:rsidRDefault="005F298F" w:rsidP="008128D4">
      <w:pPr>
        <w:pBdr>
          <w:bottom w:val="single" w:sz="24" w:space="1" w:color="E30613"/>
        </w:pBdr>
        <w:tabs>
          <w:tab w:val="left" w:pos="4820"/>
        </w:tabs>
        <w:spacing w:line="264" w:lineRule="auto"/>
        <w:jc w:val="both"/>
        <w:rPr>
          <w:rFonts w:ascii="Dax Pro Regular" w:hAnsi="Dax Pro Regular" w:cs="Arial"/>
          <w:b/>
          <w:bCs/>
          <w:color w:val="E30613"/>
          <w:sz w:val="24"/>
          <w:szCs w:val="24"/>
        </w:rPr>
      </w:pPr>
      <w:r w:rsidRPr="00937F23">
        <w:rPr>
          <w:rFonts w:ascii="Dax Pro Regular" w:hAnsi="Dax Pro Regular" w:cs="Arial"/>
          <w:b/>
          <w:bCs/>
          <w:color w:val="E30613"/>
          <w:sz w:val="24"/>
          <w:szCs w:val="24"/>
        </w:rPr>
        <w:t>Pressekontakt</w:t>
      </w:r>
      <w:r w:rsidR="000A7566" w:rsidRPr="00937F23">
        <w:rPr>
          <w:rFonts w:ascii="Dax Pro Regular" w:hAnsi="Dax Pro Regular" w:cs="Arial"/>
          <w:b/>
          <w:bCs/>
          <w:color w:val="E30613"/>
          <w:sz w:val="24"/>
          <w:szCs w:val="24"/>
        </w:rPr>
        <w:t>e</w:t>
      </w:r>
    </w:p>
    <w:p w14:paraId="7BBA1E23" w14:textId="77777777" w:rsidR="00E24CEE" w:rsidRPr="000A7566" w:rsidRDefault="00E24CEE" w:rsidP="009E7CB1">
      <w:pPr>
        <w:tabs>
          <w:tab w:val="left" w:pos="4820"/>
        </w:tabs>
        <w:spacing w:line="264" w:lineRule="auto"/>
        <w:jc w:val="both"/>
        <w:rPr>
          <w:rFonts w:ascii="Dax Pro Regular" w:hAnsi="Dax Pro Regular" w:cs="Arial"/>
          <w:sz w:val="22"/>
          <w:szCs w:val="22"/>
        </w:rPr>
      </w:pPr>
    </w:p>
    <w:p w14:paraId="3B1E80B9" w14:textId="66FE8901" w:rsidR="005F298F" w:rsidRPr="000A7566" w:rsidRDefault="005F298F" w:rsidP="009E7CB1">
      <w:pPr>
        <w:tabs>
          <w:tab w:val="left" w:pos="4820"/>
        </w:tabs>
        <w:spacing w:line="264" w:lineRule="auto"/>
        <w:jc w:val="both"/>
        <w:rPr>
          <w:rFonts w:ascii="Dax Pro Regular" w:hAnsi="Dax Pro Regular" w:cs="Arial"/>
          <w:sz w:val="22"/>
          <w:szCs w:val="22"/>
        </w:rPr>
      </w:pPr>
      <w:r w:rsidRPr="000A7566">
        <w:rPr>
          <w:rFonts w:ascii="Dax Pro Regular" w:hAnsi="Dax Pro Regular" w:cs="Arial"/>
          <w:sz w:val="22"/>
          <w:szCs w:val="22"/>
        </w:rPr>
        <w:t>plenos – Agentur für Kommunikation GmbH</w:t>
      </w:r>
      <w:r w:rsidRPr="000A7566">
        <w:rPr>
          <w:rFonts w:ascii="Dax Pro Regular" w:hAnsi="Dax Pro Regular" w:cs="Arial"/>
          <w:sz w:val="22"/>
          <w:szCs w:val="22"/>
        </w:rPr>
        <w:tab/>
      </w:r>
      <w:r w:rsidR="000A7566">
        <w:rPr>
          <w:rFonts w:ascii="Dax Pro Regular" w:hAnsi="Dax Pro Regular" w:cs="Arial"/>
          <w:sz w:val="22"/>
          <w:szCs w:val="22"/>
        </w:rPr>
        <w:t>H</w:t>
      </w:r>
      <w:r w:rsidR="003C49C3">
        <w:rPr>
          <w:rFonts w:ascii="Dax Pro Regular" w:hAnsi="Dax Pro Regular" w:cs="Arial"/>
          <w:sz w:val="22"/>
          <w:szCs w:val="22"/>
        </w:rPr>
        <w:t>SH Energieconsulting GmbH</w:t>
      </w:r>
    </w:p>
    <w:p w14:paraId="29061021" w14:textId="4F74DF36" w:rsidR="005F298F" w:rsidRPr="00D93577" w:rsidRDefault="005F298F" w:rsidP="009E7CB1">
      <w:pPr>
        <w:tabs>
          <w:tab w:val="left" w:pos="4820"/>
        </w:tabs>
        <w:spacing w:line="264" w:lineRule="auto"/>
        <w:rPr>
          <w:rFonts w:ascii="Dax Pro Regular" w:hAnsi="Dax Pro Regular" w:cs="Arial"/>
          <w:sz w:val="22"/>
          <w:szCs w:val="22"/>
        </w:rPr>
      </w:pPr>
      <w:r w:rsidRPr="00D93577">
        <w:rPr>
          <w:rFonts w:ascii="Dax Pro Regular" w:hAnsi="Dax Pro Regular" w:cs="Arial"/>
          <w:sz w:val="22"/>
          <w:szCs w:val="22"/>
        </w:rPr>
        <w:t>Siezenheimer Straße 39a/Top 4</w:t>
      </w:r>
      <w:r w:rsidRPr="00D93577">
        <w:rPr>
          <w:rFonts w:ascii="Dax Pro Regular" w:hAnsi="Dax Pro Regular" w:cs="Arial"/>
          <w:sz w:val="22"/>
          <w:szCs w:val="22"/>
        </w:rPr>
        <w:tab/>
      </w:r>
      <w:r w:rsidR="003C49C3" w:rsidRPr="00D93577">
        <w:rPr>
          <w:rFonts w:ascii="Dax Pro Regular" w:hAnsi="Dax Pro Regular" w:cs="Arial"/>
          <w:sz w:val="22"/>
          <w:szCs w:val="22"/>
        </w:rPr>
        <w:t>Mail 5</w:t>
      </w:r>
    </w:p>
    <w:p w14:paraId="065AA41E" w14:textId="5EFD4AA7" w:rsidR="005F298F" w:rsidRPr="00D93577" w:rsidRDefault="005F298F" w:rsidP="009E7CB1">
      <w:pPr>
        <w:tabs>
          <w:tab w:val="left" w:pos="4820"/>
        </w:tabs>
        <w:spacing w:line="264" w:lineRule="auto"/>
        <w:jc w:val="both"/>
        <w:rPr>
          <w:rFonts w:ascii="Dax Pro Regular" w:hAnsi="Dax Pro Regular" w:cs="Arial"/>
          <w:sz w:val="22"/>
          <w:szCs w:val="22"/>
        </w:rPr>
      </w:pPr>
      <w:r w:rsidRPr="00D93577">
        <w:rPr>
          <w:rFonts w:ascii="Dax Pro Regular" w:hAnsi="Dax Pro Regular" w:cs="Arial"/>
          <w:sz w:val="22"/>
          <w:szCs w:val="22"/>
        </w:rPr>
        <w:t>5020 Salzburg</w:t>
      </w:r>
      <w:r w:rsidRPr="00D93577">
        <w:rPr>
          <w:rFonts w:ascii="Dax Pro Regular" w:hAnsi="Dax Pro Regular" w:cs="Arial"/>
          <w:sz w:val="22"/>
          <w:szCs w:val="22"/>
        </w:rPr>
        <w:tab/>
      </w:r>
      <w:r w:rsidR="003C49C3" w:rsidRPr="00D93577">
        <w:rPr>
          <w:rFonts w:ascii="Dax Pro Regular" w:hAnsi="Dax Pro Regular" w:cs="Arial"/>
          <w:sz w:val="22"/>
          <w:szCs w:val="22"/>
        </w:rPr>
        <w:t>9300 St. Veit/Glan</w:t>
      </w:r>
    </w:p>
    <w:p w14:paraId="16191967" w14:textId="5BF03126" w:rsidR="005F298F" w:rsidRPr="00D93577" w:rsidRDefault="005F298F" w:rsidP="000A7566">
      <w:pPr>
        <w:tabs>
          <w:tab w:val="left" w:pos="4820"/>
        </w:tabs>
        <w:spacing w:line="264" w:lineRule="auto"/>
        <w:jc w:val="both"/>
        <w:rPr>
          <w:rFonts w:ascii="Dax Pro Regular" w:hAnsi="Dax Pro Regular" w:cs="Arial"/>
          <w:sz w:val="22"/>
          <w:szCs w:val="22"/>
        </w:rPr>
      </w:pPr>
    </w:p>
    <w:p w14:paraId="289A6981" w14:textId="79E8C2C3" w:rsidR="005F298F" w:rsidRPr="000A7566" w:rsidRDefault="005F298F" w:rsidP="000A7566">
      <w:pPr>
        <w:tabs>
          <w:tab w:val="left" w:pos="4820"/>
        </w:tabs>
        <w:spacing w:line="264" w:lineRule="auto"/>
        <w:jc w:val="both"/>
        <w:rPr>
          <w:rFonts w:ascii="Dax Pro Regular" w:hAnsi="Dax Pro Regular" w:cs="Arial"/>
          <w:sz w:val="22"/>
          <w:szCs w:val="22"/>
        </w:rPr>
      </w:pPr>
      <w:r w:rsidRPr="000A7566">
        <w:rPr>
          <w:rFonts w:ascii="Dax Pro Regular" w:hAnsi="Dax Pro Regular" w:cs="Arial"/>
          <w:sz w:val="22"/>
          <w:szCs w:val="22"/>
        </w:rPr>
        <w:t>Christina Koblinger</w:t>
      </w:r>
      <w:r w:rsidR="000A7566" w:rsidRPr="000A7566">
        <w:rPr>
          <w:rFonts w:ascii="Dax Pro Regular" w:hAnsi="Dax Pro Regular" w:cs="Arial"/>
          <w:sz w:val="22"/>
          <w:szCs w:val="22"/>
        </w:rPr>
        <w:tab/>
        <w:t>Robert Bergknapp</w:t>
      </w:r>
    </w:p>
    <w:p w14:paraId="03DBE3FB" w14:textId="184245AE" w:rsidR="005F298F" w:rsidRPr="00D93577" w:rsidRDefault="005F298F" w:rsidP="000A7566">
      <w:pPr>
        <w:tabs>
          <w:tab w:val="left" w:pos="4820"/>
        </w:tabs>
        <w:spacing w:line="264" w:lineRule="auto"/>
        <w:jc w:val="both"/>
        <w:rPr>
          <w:rFonts w:ascii="Dax Pro Regular" w:hAnsi="Dax Pro Regular" w:cs="Arial"/>
          <w:sz w:val="22"/>
          <w:szCs w:val="22"/>
        </w:rPr>
      </w:pPr>
      <w:r w:rsidRPr="00D93577">
        <w:rPr>
          <w:rFonts w:ascii="Dax Pro Regular" w:hAnsi="Dax Pro Regular" w:cs="Arial"/>
          <w:sz w:val="22"/>
          <w:szCs w:val="22"/>
        </w:rPr>
        <w:t>Tel.: +43 676 83786202</w:t>
      </w:r>
      <w:r w:rsidR="000A7566" w:rsidRPr="00D93577">
        <w:rPr>
          <w:rFonts w:ascii="Dax Pro Regular" w:hAnsi="Dax Pro Regular" w:cs="Arial"/>
          <w:sz w:val="22"/>
          <w:szCs w:val="22"/>
        </w:rPr>
        <w:tab/>
        <w:t>Tel.: +43</w:t>
      </w:r>
      <w:r w:rsidR="003C49C3" w:rsidRPr="00D93577">
        <w:rPr>
          <w:rFonts w:ascii="Dax Pro Regular" w:hAnsi="Dax Pro Regular" w:cs="Arial"/>
          <w:sz w:val="22"/>
          <w:szCs w:val="22"/>
        </w:rPr>
        <w:t xml:space="preserve"> 664 8454586</w:t>
      </w:r>
    </w:p>
    <w:p w14:paraId="2523A2F7" w14:textId="13EA7F33" w:rsidR="005F298F" w:rsidRPr="00D93577" w:rsidRDefault="00E24CEE" w:rsidP="000A7566">
      <w:pPr>
        <w:tabs>
          <w:tab w:val="left" w:pos="4820"/>
        </w:tabs>
        <w:spacing w:line="264" w:lineRule="auto"/>
        <w:jc w:val="both"/>
        <w:rPr>
          <w:rFonts w:ascii="Dax Pro Regular" w:hAnsi="Dax Pro Regular" w:cs="Arial"/>
          <w:sz w:val="22"/>
          <w:szCs w:val="22"/>
        </w:rPr>
      </w:pPr>
      <w:r w:rsidRPr="00D93577">
        <w:rPr>
          <w:rFonts w:ascii="Dax Pro Regular" w:hAnsi="Dax Pro Regular" w:cs="Arial"/>
          <w:sz w:val="22"/>
          <w:szCs w:val="22"/>
        </w:rPr>
        <w:t>christina.koblinger@plenos.at</w:t>
      </w:r>
      <w:r w:rsidR="003C49C3" w:rsidRPr="00D93577">
        <w:rPr>
          <w:rFonts w:ascii="Dax Pro Regular" w:hAnsi="Dax Pro Regular" w:cs="Arial"/>
          <w:sz w:val="22"/>
          <w:szCs w:val="22"/>
        </w:rPr>
        <w:tab/>
        <w:t>robert.bergknapp@holzdiesonne.net</w:t>
      </w:r>
    </w:p>
    <w:p w14:paraId="5137F64D" w14:textId="6AF0D7C3" w:rsidR="00E24CEE" w:rsidRPr="00D93577" w:rsidRDefault="00E24CEE" w:rsidP="009E7CB1">
      <w:pPr>
        <w:tabs>
          <w:tab w:val="left" w:pos="5103"/>
        </w:tabs>
        <w:spacing w:line="264" w:lineRule="auto"/>
        <w:jc w:val="both"/>
        <w:rPr>
          <w:rFonts w:ascii="Dax Pro Regular" w:hAnsi="Dax Pro Regular" w:cs="Arial"/>
        </w:rPr>
      </w:pPr>
    </w:p>
    <w:p w14:paraId="34925458" w14:textId="59F8C0E9" w:rsidR="00E24CEE" w:rsidRPr="00D93577" w:rsidRDefault="00E24CEE" w:rsidP="009E7CB1">
      <w:pPr>
        <w:tabs>
          <w:tab w:val="left" w:pos="5103"/>
        </w:tabs>
        <w:spacing w:line="264" w:lineRule="auto"/>
        <w:jc w:val="both"/>
        <w:rPr>
          <w:rFonts w:ascii="Dax Pro Regular" w:hAnsi="Dax Pro Regular" w:cs="Arial"/>
        </w:rPr>
      </w:pPr>
    </w:p>
    <w:p w14:paraId="370D80D0" w14:textId="1C13810F" w:rsidR="00C95B61" w:rsidRPr="00D93577" w:rsidRDefault="00C95B61" w:rsidP="009E7CB1">
      <w:pPr>
        <w:tabs>
          <w:tab w:val="left" w:pos="5103"/>
        </w:tabs>
        <w:spacing w:line="264" w:lineRule="auto"/>
        <w:jc w:val="both"/>
        <w:rPr>
          <w:rFonts w:ascii="Dax Pro Regular" w:hAnsi="Dax Pro Regular" w:cs="Arial"/>
        </w:rPr>
      </w:pPr>
    </w:p>
    <w:p w14:paraId="334AD998" w14:textId="77777777" w:rsidR="00C95B61" w:rsidRPr="00D93577" w:rsidRDefault="00C95B61" w:rsidP="009E7CB1">
      <w:pPr>
        <w:tabs>
          <w:tab w:val="left" w:pos="5103"/>
        </w:tabs>
        <w:spacing w:line="264" w:lineRule="auto"/>
        <w:jc w:val="both"/>
        <w:rPr>
          <w:rFonts w:ascii="Dax Pro Regular" w:hAnsi="Dax Pro Regular" w:cs="Arial"/>
        </w:rPr>
      </w:pPr>
    </w:p>
    <w:p w14:paraId="4BE19B18" w14:textId="0BAAE683" w:rsidR="00E24CEE" w:rsidRPr="000A7566" w:rsidRDefault="00E24CEE" w:rsidP="009E7CB1">
      <w:pPr>
        <w:tabs>
          <w:tab w:val="left" w:pos="5103"/>
        </w:tabs>
        <w:spacing w:line="264" w:lineRule="auto"/>
        <w:jc w:val="both"/>
        <w:rPr>
          <w:rFonts w:ascii="Dax Pro Regular" w:hAnsi="Dax Pro Regular" w:cs="Arial"/>
          <w:b/>
          <w:bCs/>
          <w:sz w:val="36"/>
          <w:szCs w:val="36"/>
          <w:lang w:val="en-US"/>
        </w:rPr>
      </w:pPr>
      <w:r w:rsidRPr="000A7566">
        <w:rPr>
          <w:rFonts w:ascii="Dax Pro Regular" w:hAnsi="Dax Pro Regular" w:cs="Arial"/>
          <w:b/>
          <w:bCs/>
          <w:sz w:val="36"/>
          <w:szCs w:val="36"/>
          <w:lang w:val="en-US"/>
        </w:rPr>
        <w:t>www.</w:t>
      </w:r>
      <w:r w:rsidR="003C49C3">
        <w:rPr>
          <w:rFonts w:ascii="Dax Pro Regular" w:hAnsi="Dax Pro Regular" w:cs="Arial"/>
          <w:b/>
          <w:bCs/>
          <w:sz w:val="36"/>
          <w:szCs w:val="36"/>
          <w:lang w:val="en-US"/>
        </w:rPr>
        <w:t>holzdiesonne</w:t>
      </w:r>
      <w:r w:rsidRPr="000A7566">
        <w:rPr>
          <w:rFonts w:ascii="Dax Pro Regular" w:hAnsi="Dax Pro Regular" w:cs="Arial"/>
          <w:b/>
          <w:bCs/>
          <w:sz w:val="36"/>
          <w:szCs w:val="36"/>
          <w:lang w:val="en-US"/>
        </w:rPr>
        <w:t>.</w:t>
      </w:r>
      <w:r w:rsidR="003C49C3">
        <w:rPr>
          <w:rFonts w:ascii="Dax Pro Regular" w:hAnsi="Dax Pro Regular" w:cs="Arial"/>
          <w:b/>
          <w:bCs/>
          <w:sz w:val="36"/>
          <w:szCs w:val="36"/>
          <w:lang w:val="en-US"/>
        </w:rPr>
        <w:t>net</w:t>
      </w:r>
    </w:p>
    <w:sectPr w:rsidR="00E24CEE" w:rsidRPr="000A7566" w:rsidSect="0063054E">
      <w:headerReference w:type="default" r:id="rId9"/>
      <w:footerReference w:type="even" r:id="rId10"/>
      <w:footerReference w:type="default" r:id="rId11"/>
      <w:pgSz w:w="11906" w:h="16838"/>
      <w:pgMar w:top="2727" w:right="1418" w:bottom="1134" w:left="1418" w:header="7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482BA" w14:textId="77777777" w:rsidR="000E14EF" w:rsidRDefault="000E14EF" w:rsidP="007A10FC">
      <w:r>
        <w:separator/>
      </w:r>
    </w:p>
  </w:endnote>
  <w:endnote w:type="continuationSeparator" w:id="0">
    <w:p w14:paraId="1122F303" w14:textId="77777777" w:rsidR="000E14EF" w:rsidRDefault="000E14EF" w:rsidP="007A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MT">
    <w:altName w:val="Garamond"/>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ebas Neue">
    <w:altName w:val="Arial Narrow"/>
    <w:panose1 w:val="020B0606020202050201"/>
    <w:charset w:val="4D"/>
    <w:family w:val="swiss"/>
    <w:notTrueType/>
    <w:pitch w:val="variable"/>
    <w:sig w:usb0="00000007" w:usb1="00000001" w:usb2="00000000" w:usb3="00000000" w:csb0="00000093" w:csb1="00000000"/>
  </w:font>
  <w:font w:name="Nunito SemiBold">
    <w:altName w:val="Times New Roman"/>
    <w:panose1 w:val="00000000000000000000"/>
    <w:charset w:val="4D"/>
    <w:family w:val="auto"/>
    <w:pitch w:val="variable"/>
    <w:sig w:usb0="A00002FF" w:usb1="5000204B" w:usb2="00000000" w:usb3="00000000" w:csb0="00000197" w:csb1="00000000"/>
  </w:font>
  <w:font w:name="Dax Pro Regular">
    <w:altName w:val="DaxPro"/>
    <w:panose1 w:val="02000506060000020004"/>
    <w:charset w:val="00"/>
    <w:family w:val="auto"/>
    <w:notTrueType/>
    <w:pitch w:val="variable"/>
    <w:sig w:usb0="A00002BF" w:usb1="4000A4FB" w:usb2="00000000" w:usb3="00000000" w:csb0="0000009F" w:csb1="00000000"/>
  </w:font>
  <w:font w:name="Helvetica">
    <w:panose1 w:val="00000000000000000000"/>
    <w:charset w:val="00"/>
    <w:family w:val="auto"/>
    <w:pitch w:val="variable"/>
    <w:sig w:usb0="E00002FF" w:usb1="5000785B" w:usb2="00000000" w:usb3="00000000" w:csb0="0000019F" w:csb1="00000000"/>
  </w:font>
  <w:font w:name="Nunito Light">
    <w:altName w:val="Times New Roman"/>
    <w:panose1 w:val="00000000000000000000"/>
    <w:charset w:val="4D"/>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98530909"/>
      <w:docPartObj>
        <w:docPartGallery w:val="Page Numbers (Bottom of Page)"/>
        <w:docPartUnique/>
      </w:docPartObj>
    </w:sdtPr>
    <w:sdtContent>
      <w:p w14:paraId="34A5794E" w14:textId="5C05F230" w:rsidR="00E24CEE" w:rsidRDefault="00E24CEE" w:rsidP="00883C2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CDCD6A" w14:textId="77777777" w:rsidR="00E24CEE" w:rsidRDefault="00E24CEE" w:rsidP="00E24CE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8460180"/>
      <w:docPartObj>
        <w:docPartGallery w:val="Page Numbers (Bottom of Page)"/>
        <w:docPartUnique/>
      </w:docPartObj>
    </w:sdtPr>
    <w:sdtEndPr>
      <w:rPr>
        <w:rStyle w:val="Seitenzahl"/>
        <w:rFonts w:ascii="Nunito Light" w:hAnsi="Nunito Light"/>
        <w:sz w:val="18"/>
        <w:szCs w:val="18"/>
      </w:rPr>
    </w:sdtEndPr>
    <w:sdtContent>
      <w:p w14:paraId="6B910FF7" w14:textId="4A0117F7" w:rsidR="00E24CEE" w:rsidRPr="00E71CB0" w:rsidRDefault="00E24CEE" w:rsidP="00883C23">
        <w:pPr>
          <w:pStyle w:val="Fuzeile"/>
          <w:framePr w:wrap="none" w:vAnchor="text" w:hAnchor="margin" w:xAlign="right" w:y="1"/>
          <w:rPr>
            <w:rStyle w:val="Seitenzahl"/>
            <w:rFonts w:ascii="Nunito Light" w:hAnsi="Nunito Light"/>
            <w:sz w:val="18"/>
            <w:szCs w:val="18"/>
          </w:rPr>
        </w:pP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PAGE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1</w:t>
        </w:r>
        <w:r w:rsidRPr="00E71CB0">
          <w:rPr>
            <w:rStyle w:val="Seitenzahl"/>
            <w:rFonts w:ascii="Nunito Light" w:hAnsi="Nunito Light"/>
            <w:sz w:val="18"/>
            <w:szCs w:val="18"/>
          </w:rPr>
          <w:fldChar w:fldCharType="end"/>
        </w:r>
        <w:r w:rsidRPr="00E71CB0">
          <w:rPr>
            <w:rStyle w:val="Seitenzahl"/>
            <w:rFonts w:ascii="Nunito Light" w:hAnsi="Nunito Light"/>
            <w:sz w:val="18"/>
            <w:szCs w:val="18"/>
          </w:rPr>
          <w:t xml:space="preserve"> von </w:t>
        </w: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NUMPAGES  \* MERGEFORMAT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2</w:t>
        </w:r>
        <w:r w:rsidRPr="00E71CB0">
          <w:rPr>
            <w:rStyle w:val="Seitenzahl"/>
            <w:rFonts w:ascii="Nunito Light" w:hAnsi="Nunito Light"/>
            <w:sz w:val="18"/>
            <w:szCs w:val="18"/>
          </w:rPr>
          <w:fldChar w:fldCharType="end"/>
        </w:r>
      </w:p>
    </w:sdtContent>
  </w:sdt>
  <w:p w14:paraId="0B41F5F1" w14:textId="7916DD5F" w:rsidR="00E24CEE" w:rsidRPr="00E71CB0" w:rsidRDefault="00E24CEE" w:rsidP="00E24CEE">
    <w:pPr>
      <w:pStyle w:val="Fuzeile"/>
      <w:ind w:right="360"/>
      <w:rPr>
        <w:rFonts w:ascii="Nunito Light" w:hAnsi="Nunito Light"/>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791B9" w14:textId="77777777" w:rsidR="000E14EF" w:rsidRDefault="000E14EF" w:rsidP="007A10FC">
      <w:r>
        <w:separator/>
      </w:r>
    </w:p>
  </w:footnote>
  <w:footnote w:type="continuationSeparator" w:id="0">
    <w:p w14:paraId="22ED99A3" w14:textId="77777777" w:rsidR="000E14EF" w:rsidRDefault="000E14EF" w:rsidP="007A1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98F2" w14:textId="42186C35" w:rsidR="00E24CEE" w:rsidRDefault="00E24CEE">
    <w:pPr>
      <w:pStyle w:val="Kopfzeile"/>
    </w:pPr>
  </w:p>
  <w:p w14:paraId="052DD6D4" w14:textId="4646632D" w:rsidR="00E24CEE" w:rsidRDefault="00047933">
    <w:pPr>
      <w:pStyle w:val="Kopfzeile"/>
    </w:pPr>
    <w:r>
      <w:rPr>
        <w:noProof/>
        <w:lang w:eastAsia="en-GB"/>
      </w:rPr>
      <w:drawing>
        <wp:anchor distT="0" distB="0" distL="114300" distR="114300" simplePos="0" relativeHeight="251659264" behindDoc="0" locked="0" layoutInCell="1" allowOverlap="1" wp14:anchorId="2FBC713D" wp14:editId="3CEEE2B0">
          <wp:simplePos x="0" y="0"/>
          <wp:positionH relativeFrom="margin">
            <wp:posOffset>4838731</wp:posOffset>
          </wp:positionH>
          <wp:positionV relativeFrom="margin">
            <wp:posOffset>-965928</wp:posOffset>
          </wp:positionV>
          <wp:extent cx="683601" cy="812643"/>
          <wp:effectExtent l="0" t="0" r="2540" b="63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rotWithShape="1">
                  <a:blip r:embed="rId1">
                    <a:extLst>
                      <a:ext uri="{28A0092B-C50C-407E-A947-70E740481C1C}">
                        <a14:useLocalDpi xmlns:a14="http://schemas.microsoft.com/office/drawing/2010/main" val="0"/>
                      </a:ext>
                    </a:extLst>
                  </a:blip>
                  <a:srcRect l="6393" r="9485"/>
                  <a:stretch/>
                </pic:blipFill>
                <pic:spPr bwMode="auto">
                  <a:xfrm>
                    <a:off x="0" y="0"/>
                    <a:ext cx="683961" cy="81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B9D55" w14:textId="214A9BC4" w:rsidR="00C95B61" w:rsidRDefault="00C95B61">
    <w:pPr>
      <w:pStyle w:val="Kopfzeile"/>
    </w:pPr>
  </w:p>
  <w:p w14:paraId="51947548" w14:textId="77777777" w:rsidR="00C95B61" w:rsidRDefault="00C95B61">
    <w:pPr>
      <w:pStyle w:val="Kopfzeile"/>
    </w:pPr>
  </w:p>
  <w:p w14:paraId="5C177B38" w14:textId="0F3C20BA" w:rsidR="007A10FC" w:rsidRDefault="007A10FC" w:rsidP="00614B95">
    <w:pPr>
      <w:pStyle w:val="Kopfzeile"/>
      <w:pBdr>
        <w:bottom w:val="single" w:sz="24" w:space="1" w:color="E3202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732AD"/>
    <w:multiLevelType w:val="hybridMultilevel"/>
    <w:tmpl w:val="843C8898"/>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 w15:restartNumberingAfterBreak="0">
    <w:nsid w:val="1D255296"/>
    <w:multiLevelType w:val="hybridMultilevel"/>
    <w:tmpl w:val="23E464E4"/>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906CDF"/>
    <w:multiLevelType w:val="hybridMultilevel"/>
    <w:tmpl w:val="9E244A1C"/>
    <w:lvl w:ilvl="0" w:tplc="A78AD9E8">
      <w:start w:val="1"/>
      <w:numFmt w:val="bullet"/>
      <w:pStyle w:val="Aufzhlungszeichen"/>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A6D58"/>
    <w:multiLevelType w:val="hybridMultilevel"/>
    <w:tmpl w:val="4FFA94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26A54C88"/>
    <w:multiLevelType w:val="multilevel"/>
    <w:tmpl w:val="A50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1446A"/>
    <w:multiLevelType w:val="hybridMultilevel"/>
    <w:tmpl w:val="C78A8B78"/>
    <w:lvl w:ilvl="0" w:tplc="948E851A">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6" w15:restartNumberingAfterBreak="0">
    <w:nsid w:val="33016FD4"/>
    <w:multiLevelType w:val="hybridMultilevel"/>
    <w:tmpl w:val="740214B8"/>
    <w:lvl w:ilvl="0" w:tplc="948E851A">
      <w:start w:val="1"/>
      <w:numFmt w:val="decimal"/>
      <w:lvlText w:val="(%1)"/>
      <w:lvlJc w:val="left"/>
      <w:pPr>
        <w:ind w:left="79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37B1421"/>
    <w:multiLevelType w:val="multilevel"/>
    <w:tmpl w:val="C16A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DC3662"/>
    <w:multiLevelType w:val="hybridMultilevel"/>
    <w:tmpl w:val="17904EB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0661BF"/>
    <w:multiLevelType w:val="multilevel"/>
    <w:tmpl w:val="4762E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A51B46"/>
    <w:multiLevelType w:val="hybridMultilevel"/>
    <w:tmpl w:val="16EE165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B3C2977"/>
    <w:multiLevelType w:val="hybridMultilevel"/>
    <w:tmpl w:val="018A462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375156481">
    <w:abstractNumId w:val="11"/>
  </w:num>
  <w:num w:numId="2" w16cid:durableId="500851207">
    <w:abstractNumId w:val="0"/>
  </w:num>
  <w:num w:numId="3" w16cid:durableId="1856578981">
    <w:abstractNumId w:val="4"/>
  </w:num>
  <w:num w:numId="4" w16cid:durableId="1059213166">
    <w:abstractNumId w:val="3"/>
  </w:num>
  <w:num w:numId="5" w16cid:durableId="1799952543">
    <w:abstractNumId w:val="5"/>
  </w:num>
  <w:num w:numId="6" w16cid:durableId="13967283">
    <w:abstractNumId w:val="6"/>
  </w:num>
  <w:num w:numId="7" w16cid:durableId="1605065809">
    <w:abstractNumId w:val="7"/>
  </w:num>
  <w:num w:numId="8" w16cid:durableId="1068724607">
    <w:abstractNumId w:val="10"/>
  </w:num>
  <w:num w:numId="9" w16cid:durableId="1515421301">
    <w:abstractNumId w:val="1"/>
  </w:num>
  <w:num w:numId="10" w16cid:durableId="2974958">
    <w:abstractNumId w:val="8"/>
  </w:num>
  <w:num w:numId="11" w16cid:durableId="1055470818">
    <w:abstractNumId w:val="9"/>
  </w:num>
  <w:num w:numId="12" w16cid:durableId="99381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67D"/>
    <w:rsid w:val="00010296"/>
    <w:rsid w:val="00010393"/>
    <w:rsid w:val="00031FBB"/>
    <w:rsid w:val="00033717"/>
    <w:rsid w:val="00033A68"/>
    <w:rsid w:val="00036B21"/>
    <w:rsid w:val="00047933"/>
    <w:rsid w:val="000949CF"/>
    <w:rsid w:val="000A0030"/>
    <w:rsid w:val="000A7566"/>
    <w:rsid w:val="000B13A6"/>
    <w:rsid w:val="000B2A10"/>
    <w:rsid w:val="000D0635"/>
    <w:rsid w:val="000D4AAE"/>
    <w:rsid w:val="000E06E4"/>
    <w:rsid w:val="000E14EF"/>
    <w:rsid w:val="000E6ABF"/>
    <w:rsid w:val="00103BAA"/>
    <w:rsid w:val="001062B3"/>
    <w:rsid w:val="0011248A"/>
    <w:rsid w:val="001131F8"/>
    <w:rsid w:val="0012457C"/>
    <w:rsid w:val="001413F1"/>
    <w:rsid w:val="00145F4B"/>
    <w:rsid w:val="00151D18"/>
    <w:rsid w:val="00152767"/>
    <w:rsid w:val="00156EC2"/>
    <w:rsid w:val="001728B3"/>
    <w:rsid w:val="00180368"/>
    <w:rsid w:val="00192A02"/>
    <w:rsid w:val="00195964"/>
    <w:rsid w:val="00196B59"/>
    <w:rsid w:val="001974FF"/>
    <w:rsid w:val="001B1870"/>
    <w:rsid w:val="001B6CD6"/>
    <w:rsid w:val="001C7679"/>
    <w:rsid w:val="001E0992"/>
    <w:rsid w:val="001E33D8"/>
    <w:rsid w:val="002073E0"/>
    <w:rsid w:val="00210633"/>
    <w:rsid w:val="00222BAF"/>
    <w:rsid w:val="00257FD7"/>
    <w:rsid w:val="002747E1"/>
    <w:rsid w:val="00282D5F"/>
    <w:rsid w:val="00292816"/>
    <w:rsid w:val="002947BB"/>
    <w:rsid w:val="00297512"/>
    <w:rsid w:val="002A4FD0"/>
    <w:rsid w:val="002C256E"/>
    <w:rsid w:val="002D5C57"/>
    <w:rsid w:val="002D6C52"/>
    <w:rsid w:val="002E090D"/>
    <w:rsid w:val="002E1EAB"/>
    <w:rsid w:val="002E307A"/>
    <w:rsid w:val="002F1CA1"/>
    <w:rsid w:val="00316247"/>
    <w:rsid w:val="00332DA7"/>
    <w:rsid w:val="00344B3D"/>
    <w:rsid w:val="00346902"/>
    <w:rsid w:val="00350D88"/>
    <w:rsid w:val="003563B7"/>
    <w:rsid w:val="00362921"/>
    <w:rsid w:val="003672A4"/>
    <w:rsid w:val="003679FC"/>
    <w:rsid w:val="0038021C"/>
    <w:rsid w:val="003944B9"/>
    <w:rsid w:val="00394890"/>
    <w:rsid w:val="003A1D03"/>
    <w:rsid w:val="003A6E64"/>
    <w:rsid w:val="003B4FE9"/>
    <w:rsid w:val="003C1295"/>
    <w:rsid w:val="003C3740"/>
    <w:rsid w:val="003C49C3"/>
    <w:rsid w:val="003D1BDC"/>
    <w:rsid w:val="003D4D09"/>
    <w:rsid w:val="003E17B9"/>
    <w:rsid w:val="003F4208"/>
    <w:rsid w:val="003F7394"/>
    <w:rsid w:val="00402269"/>
    <w:rsid w:val="004205F6"/>
    <w:rsid w:val="0043002A"/>
    <w:rsid w:val="00444FC5"/>
    <w:rsid w:val="00452C34"/>
    <w:rsid w:val="00454BC7"/>
    <w:rsid w:val="0045600E"/>
    <w:rsid w:val="00461F60"/>
    <w:rsid w:val="00467BCE"/>
    <w:rsid w:val="00492398"/>
    <w:rsid w:val="00495DBE"/>
    <w:rsid w:val="004A634D"/>
    <w:rsid w:val="004A6704"/>
    <w:rsid w:val="004B358B"/>
    <w:rsid w:val="004B6A47"/>
    <w:rsid w:val="004C3E7F"/>
    <w:rsid w:val="004C4E8C"/>
    <w:rsid w:val="004D41A9"/>
    <w:rsid w:val="004E21AC"/>
    <w:rsid w:val="004F1D7C"/>
    <w:rsid w:val="004F2A42"/>
    <w:rsid w:val="00504997"/>
    <w:rsid w:val="005158D4"/>
    <w:rsid w:val="005554BD"/>
    <w:rsid w:val="00557B39"/>
    <w:rsid w:val="00557FD0"/>
    <w:rsid w:val="005641E6"/>
    <w:rsid w:val="0057029D"/>
    <w:rsid w:val="00575D17"/>
    <w:rsid w:val="00590C4D"/>
    <w:rsid w:val="005B0769"/>
    <w:rsid w:val="005B2E46"/>
    <w:rsid w:val="005B763B"/>
    <w:rsid w:val="005D3170"/>
    <w:rsid w:val="005F298F"/>
    <w:rsid w:val="005F6D73"/>
    <w:rsid w:val="006048F1"/>
    <w:rsid w:val="006110E6"/>
    <w:rsid w:val="00614B95"/>
    <w:rsid w:val="00620F95"/>
    <w:rsid w:val="0062602B"/>
    <w:rsid w:val="0063054E"/>
    <w:rsid w:val="00636CDC"/>
    <w:rsid w:val="00641136"/>
    <w:rsid w:val="00641350"/>
    <w:rsid w:val="006470B3"/>
    <w:rsid w:val="006533B2"/>
    <w:rsid w:val="00673DE1"/>
    <w:rsid w:val="00675C11"/>
    <w:rsid w:val="00680AD8"/>
    <w:rsid w:val="0068112D"/>
    <w:rsid w:val="00681F6C"/>
    <w:rsid w:val="00690EFD"/>
    <w:rsid w:val="006B7194"/>
    <w:rsid w:val="006B7B02"/>
    <w:rsid w:val="006C0F71"/>
    <w:rsid w:val="006C7549"/>
    <w:rsid w:val="006D63F9"/>
    <w:rsid w:val="006E3C45"/>
    <w:rsid w:val="006F42A2"/>
    <w:rsid w:val="007153A9"/>
    <w:rsid w:val="00723607"/>
    <w:rsid w:val="007264A5"/>
    <w:rsid w:val="00730B50"/>
    <w:rsid w:val="00745A18"/>
    <w:rsid w:val="00752710"/>
    <w:rsid w:val="00757677"/>
    <w:rsid w:val="007909BE"/>
    <w:rsid w:val="007A10FC"/>
    <w:rsid w:val="007A4CC6"/>
    <w:rsid w:val="007A55A6"/>
    <w:rsid w:val="007B1215"/>
    <w:rsid w:val="007B52BA"/>
    <w:rsid w:val="007C0BFD"/>
    <w:rsid w:val="007C6FAD"/>
    <w:rsid w:val="007D1E6D"/>
    <w:rsid w:val="007D2727"/>
    <w:rsid w:val="007D2F67"/>
    <w:rsid w:val="007D7AD3"/>
    <w:rsid w:val="007E53D6"/>
    <w:rsid w:val="00802660"/>
    <w:rsid w:val="00811D4A"/>
    <w:rsid w:val="00811DBB"/>
    <w:rsid w:val="008128D4"/>
    <w:rsid w:val="0081509E"/>
    <w:rsid w:val="00815C11"/>
    <w:rsid w:val="0082298F"/>
    <w:rsid w:val="008314A1"/>
    <w:rsid w:val="00850DF8"/>
    <w:rsid w:val="00860431"/>
    <w:rsid w:val="00862DF3"/>
    <w:rsid w:val="008668FD"/>
    <w:rsid w:val="00872EFD"/>
    <w:rsid w:val="008816CD"/>
    <w:rsid w:val="00886D70"/>
    <w:rsid w:val="00893FF8"/>
    <w:rsid w:val="008A005F"/>
    <w:rsid w:val="008A02E1"/>
    <w:rsid w:val="008A078E"/>
    <w:rsid w:val="008E34AE"/>
    <w:rsid w:val="008F7F94"/>
    <w:rsid w:val="0091414D"/>
    <w:rsid w:val="00914568"/>
    <w:rsid w:val="0091630F"/>
    <w:rsid w:val="00920F3E"/>
    <w:rsid w:val="00937F23"/>
    <w:rsid w:val="00941B1E"/>
    <w:rsid w:val="00941FAB"/>
    <w:rsid w:val="00947712"/>
    <w:rsid w:val="009550E4"/>
    <w:rsid w:val="00957FDA"/>
    <w:rsid w:val="00965D0D"/>
    <w:rsid w:val="0096762A"/>
    <w:rsid w:val="00967C48"/>
    <w:rsid w:val="00973680"/>
    <w:rsid w:val="00977B3B"/>
    <w:rsid w:val="0099517A"/>
    <w:rsid w:val="009B0012"/>
    <w:rsid w:val="009B0637"/>
    <w:rsid w:val="009B1E5D"/>
    <w:rsid w:val="009B7938"/>
    <w:rsid w:val="009C0686"/>
    <w:rsid w:val="009C2F11"/>
    <w:rsid w:val="009C7EDB"/>
    <w:rsid w:val="009E01CD"/>
    <w:rsid w:val="009E7CB1"/>
    <w:rsid w:val="009F783C"/>
    <w:rsid w:val="00A019F3"/>
    <w:rsid w:val="00A07C3E"/>
    <w:rsid w:val="00A22597"/>
    <w:rsid w:val="00A3219D"/>
    <w:rsid w:val="00A523A8"/>
    <w:rsid w:val="00A535C2"/>
    <w:rsid w:val="00A662B0"/>
    <w:rsid w:val="00A669EF"/>
    <w:rsid w:val="00A7649E"/>
    <w:rsid w:val="00A84878"/>
    <w:rsid w:val="00A94C01"/>
    <w:rsid w:val="00AA59A0"/>
    <w:rsid w:val="00AA6563"/>
    <w:rsid w:val="00AB0115"/>
    <w:rsid w:val="00AB2AF1"/>
    <w:rsid w:val="00AB2B01"/>
    <w:rsid w:val="00AB60F4"/>
    <w:rsid w:val="00AB6D4E"/>
    <w:rsid w:val="00AD167D"/>
    <w:rsid w:val="00AD4451"/>
    <w:rsid w:val="00AE67A9"/>
    <w:rsid w:val="00AF313C"/>
    <w:rsid w:val="00B107D8"/>
    <w:rsid w:val="00B26C0C"/>
    <w:rsid w:val="00B31324"/>
    <w:rsid w:val="00B322D2"/>
    <w:rsid w:val="00B36C41"/>
    <w:rsid w:val="00B521EF"/>
    <w:rsid w:val="00B70454"/>
    <w:rsid w:val="00B72063"/>
    <w:rsid w:val="00B9012F"/>
    <w:rsid w:val="00BA0685"/>
    <w:rsid w:val="00BA542C"/>
    <w:rsid w:val="00BB0B12"/>
    <w:rsid w:val="00BB14F6"/>
    <w:rsid w:val="00BB1D09"/>
    <w:rsid w:val="00BB62B8"/>
    <w:rsid w:val="00BB6ABE"/>
    <w:rsid w:val="00BC7FFD"/>
    <w:rsid w:val="00BD0BCF"/>
    <w:rsid w:val="00BD4EB5"/>
    <w:rsid w:val="00BD5B1D"/>
    <w:rsid w:val="00BE0F71"/>
    <w:rsid w:val="00C10FA8"/>
    <w:rsid w:val="00C13743"/>
    <w:rsid w:val="00C214D2"/>
    <w:rsid w:val="00C21A1B"/>
    <w:rsid w:val="00C228DB"/>
    <w:rsid w:val="00C22DB1"/>
    <w:rsid w:val="00C26226"/>
    <w:rsid w:val="00C3196E"/>
    <w:rsid w:val="00C34826"/>
    <w:rsid w:val="00C35C83"/>
    <w:rsid w:val="00C35EEA"/>
    <w:rsid w:val="00C628E1"/>
    <w:rsid w:val="00C73A70"/>
    <w:rsid w:val="00C8559A"/>
    <w:rsid w:val="00C95B61"/>
    <w:rsid w:val="00C97224"/>
    <w:rsid w:val="00CB3B80"/>
    <w:rsid w:val="00CD0CE5"/>
    <w:rsid w:val="00CD3115"/>
    <w:rsid w:val="00CD39ED"/>
    <w:rsid w:val="00CD4220"/>
    <w:rsid w:val="00CE5BF2"/>
    <w:rsid w:val="00CF3637"/>
    <w:rsid w:val="00CF6A74"/>
    <w:rsid w:val="00CF6F6A"/>
    <w:rsid w:val="00D12D8B"/>
    <w:rsid w:val="00D44FDE"/>
    <w:rsid w:val="00D51A6F"/>
    <w:rsid w:val="00D610E2"/>
    <w:rsid w:val="00D65181"/>
    <w:rsid w:val="00D74B66"/>
    <w:rsid w:val="00D81D69"/>
    <w:rsid w:val="00D85FAE"/>
    <w:rsid w:val="00D9167E"/>
    <w:rsid w:val="00D93577"/>
    <w:rsid w:val="00D94776"/>
    <w:rsid w:val="00DA1CAF"/>
    <w:rsid w:val="00DA2C91"/>
    <w:rsid w:val="00DA6900"/>
    <w:rsid w:val="00DB3C9D"/>
    <w:rsid w:val="00DE4326"/>
    <w:rsid w:val="00DF3B46"/>
    <w:rsid w:val="00DF56E4"/>
    <w:rsid w:val="00E10291"/>
    <w:rsid w:val="00E119EE"/>
    <w:rsid w:val="00E139FA"/>
    <w:rsid w:val="00E24CEE"/>
    <w:rsid w:val="00E36C4E"/>
    <w:rsid w:val="00E375FF"/>
    <w:rsid w:val="00E553DB"/>
    <w:rsid w:val="00E604A1"/>
    <w:rsid w:val="00E673B3"/>
    <w:rsid w:val="00E71CB0"/>
    <w:rsid w:val="00E854AA"/>
    <w:rsid w:val="00E97316"/>
    <w:rsid w:val="00E97B6C"/>
    <w:rsid w:val="00EA0E42"/>
    <w:rsid w:val="00EA43EC"/>
    <w:rsid w:val="00EB5357"/>
    <w:rsid w:val="00EC1842"/>
    <w:rsid w:val="00EC2960"/>
    <w:rsid w:val="00ED07B9"/>
    <w:rsid w:val="00ED2286"/>
    <w:rsid w:val="00EE539B"/>
    <w:rsid w:val="00EF4B97"/>
    <w:rsid w:val="00F02A8D"/>
    <w:rsid w:val="00F0374E"/>
    <w:rsid w:val="00F03DF8"/>
    <w:rsid w:val="00F059DB"/>
    <w:rsid w:val="00F27897"/>
    <w:rsid w:val="00F301D7"/>
    <w:rsid w:val="00F34687"/>
    <w:rsid w:val="00F3799C"/>
    <w:rsid w:val="00F51C1E"/>
    <w:rsid w:val="00F60849"/>
    <w:rsid w:val="00F77014"/>
    <w:rsid w:val="00F839D6"/>
    <w:rsid w:val="00F96A55"/>
    <w:rsid w:val="00FA3C2F"/>
    <w:rsid w:val="00FB3480"/>
    <w:rsid w:val="00FC7C15"/>
    <w:rsid w:val="00FD1167"/>
    <w:rsid w:val="00FF3167"/>
    <w:rsid w:val="00FF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42B1"/>
  <w15:chartTrackingRefBased/>
  <w15:docId w15:val="{E7654627-AB45-4A4A-A14F-2DC68044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17B9"/>
    <w:pPr>
      <w:spacing w:after="0" w:line="240" w:lineRule="auto"/>
    </w:pPr>
    <w:rPr>
      <w:rFonts w:ascii="Calibri" w:eastAsia="Times New Roman" w:hAnsi="Calibri" w:cs="Calibri"/>
      <w:sz w:val="20"/>
      <w:szCs w:val="20"/>
      <w:lang w:val="de-AT" w:eastAsia="de-DE"/>
    </w:rPr>
  </w:style>
  <w:style w:type="paragraph" w:styleId="berschrift1">
    <w:name w:val="heading 1"/>
    <w:basedOn w:val="Standard"/>
    <w:link w:val="berschrift1Zchn"/>
    <w:uiPriority w:val="9"/>
    <w:qFormat/>
    <w:rsid w:val="00E375FF"/>
    <w:pPr>
      <w:spacing w:before="100" w:beforeAutospacing="1" w:after="100" w:afterAutospacing="1"/>
      <w:outlineLvl w:val="0"/>
    </w:pPr>
    <w:rPr>
      <w:rFonts w:ascii="Times New Roman" w:hAnsi="Times New Roman" w:cs="Times New Roman"/>
      <w:b/>
      <w:bCs/>
      <w:kern w:val="36"/>
      <w:sz w:val="48"/>
      <w:szCs w:val="48"/>
    </w:rPr>
  </w:style>
  <w:style w:type="paragraph" w:styleId="berschrift3">
    <w:name w:val="heading 3"/>
    <w:basedOn w:val="Standard"/>
    <w:link w:val="berschrift3Zchn"/>
    <w:uiPriority w:val="9"/>
    <w:qFormat/>
    <w:rsid w:val="00E375FF"/>
    <w:pPr>
      <w:spacing w:before="100" w:beforeAutospacing="1" w:after="100" w:afterAutospacing="1"/>
      <w:outlineLvl w:val="2"/>
    </w:pPr>
    <w:rPr>
      <w:rFonts w:ascii="Times New Roman" w:hAnsi="Times New Roman" w:cs="Times New Roman"/>
      <w:b/>
      <w:bCs/>
      <w:sz w:val="27"/>
      <w:szCs w:val="27"/>
    </w:rPr>
  </w:style>
  <w:style w:type="paragraph" w:styleId="berschrift4">
    <w:name w:val="heading 4"/>
    <w:basedOn w:val="Standard"/>
    <w:link w:val="berschrift4Zchn"/>
    <w:uiPriority w:val="9"/>
    <w:qFormat/>
    <w:rsid w:val="00E375FF"/>
    <w:pPr>
      <w:spacing w:before="100" w:beforeAutospacing="1" w:after="100" w:afterAutospacing="1"/>
      <w:outlineLvl w:val="3"/>
    </w:pPr>
    <w:rPr>
      <w:rFonts w:ascii="Times New Roman" w:hAnsi="Times New Roman" w:cs="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
    <w:name w:val="Bodytext"/>
    <w:basedOn w:val="Standard"/>
    <w:rsid w:val="00AD167D"/>
    <w:pPr>
      <w:spacing w:before="60" w:after="180" w:line="300" w:lineRule="exact"/>
    </w:pPr>
    <w:rPr>
      <w:rFonts w:ascii="Garamond MT" w:eastAsia="Arial Unicode MS" w:hAnsi="Garamond MT" w:cs="Times New Roman"/>
      <w:sz w:val="23"/>
      <w:lang w:val="en-GB" w:eastAsia="en-US"/>
    </w:rPr>
  </w:style>
  <w:style w:type="paragraph" w:customStyle="1" w:styleId="TextHeading">
    <w:name w:val="Text Heading"/>
    <w:basedOn w:val="Standard"/>
    <w:rsid w:val="00AD167D"/>
    <w:pPr>
      <w:spacing w:before="120" w:after="60" w:line="300" w:lineRule="exact"/>
    </w:pPr>
    <w:rPr>
      <w:rFonts w:ascii="Garamond MT" w:hAnsi="Garamond MT" w:cs="Times New Roman"/>
      <w:b/>
      <w:sz w:val="23"/>
      <w:lang w:val="en-GB" w:eastAsia="en-US"/>
    </w:rPr>
  </w:style>
  <w:style w:type="paragraph" w:styleId="Listenabsatz">
    <w:name w:val="List Paragraph"/>
    <w:basedOn w:val="Standard"/>
    <w:uiPriority w:val="34"/>
    <w:qFormat/>
    <w:rsid w:val="00AD167D"/>
    <w:pPr>
      <w:spacing w:line="300" w:lineRule="exact"/>
      <w:ind w:left="720"/>
    </w:pPr>
    <w:rPr>
      <w:rFonts w:ascii="Garamond MT" w:hAnsi="Garamond MT" w:cs="Times New Roman"/>
      <w:sz w:val="23"/>
      <w:lang w:val="en-GB" w:eastAsia="en-US"/>
    </w:rPr>
  </w:style>
  <w:style w:type="character" w:styleId="Kommentarzeichen">
    <w:name w:val="annotation reference"/>
    <w:basedOn w:val="Absatz-Standardschriftart"/>
    <w:semiHidden/>
    <w:unhideWhenUsed/>
    <w:rsid w:val="00AD167D"/>
    <w:rPr>
      <w:sz w:val="16"/>
      <w:szCs w:val="16"/>
    </w:rPr>
  </w:style>
  <w:style w:type="paragraph" w:styleId="Kommentartext">
    <w:name w:val="annotation text"/>
    <w:basedOn w:val="Standard"/>
    <w:link w:val="KommentartextZchn"/>
    <w:semiHidden/>
    <w:unhideWhenUsed/>
    <w:rsid w:val="00AD167D"/>
    <w:rPr>
      <w:rFonts w:ascii="Garamond MT" w:hAnsi="Garamond MT" w:cs="Times New Roman"/>
      <w:lang w:val="en-GB" w:eastAsia="en-US"/>
    </w:rPr>
  </w:style>
  <w:style w:type="character" w:customStyle="1" w:styleId="KommentartextZchn">
    <w:name w:val="Kommentartext Zchn"/>
    <w:basedOn w:val="Absatz-Standardschriftart"/>
    <w:link w:val="Kommentartext"/>
    <w:semiHidden/>
    <w:rsid w:val="00AD167D"/>
    <w:rPr>
      <w:rFonts w:ascii="Garamond MT" w:eastAsia="Times New Roman" w:hAnsi="Garamond MT" w:cs="Times New Roman"/>
      <w:sz w:val="20"/>
      <w:szCs w:val="20"/>
    </w:rPr>
  </w:style>
  <w:style w:type="character" w:styleId="Hyperlink">
    <w:name w:val="Hyperlink"/>
    <w:basedOn w:val="Absatz-Standardschriftart"/>
    <w:uiPriority w:val="99"/>
    <w:unhideWhenUsed/>
    <w:rsid w:val="007A10FC"/>
    <w:rPr>
      <w:color w:val="0563C1" w:themeColor="hyperlink"/>
      <w:u w:val="single"/>
    </w:rPr>
  </w:style>
  <w:style w:type="character" w:customStyle="1" w:styleId="NichtaufgelsteErwhnung1">
    <w:name w:val="Nicht aufgelöste Erwähnung1"/>
    <w:basedOn w:val="Absatz-Standardschriftart"/>
    <w:uiPriority w:val="99"/>
    <w:semiHidden/>
    <w:unhideWhenUsed/>
    <w:rsid w:val="007A10FC"/>
    <w:rPr>
      <w:color w:val="605E5C"/>
      <w:shd w:val="clear" w:color="auto" w:fill="E1DFDD"/>
    </w:rPr>
  </w:style>
  <w:style w:type="paragraph" w:styleId="Kopfzeile">
    <w:name w:val="header"/>
    <w:basedOn w:val="Standard"/>
    <w:link w:val="KopfzeileZchn"/>
    <w:uiPriority w:val="99"/>
    <w:unhideWhenUsed/>
    <w:rsid w:val="007A10F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KopfzeileZchn">
    <w:name w:val="Kopfzeile Zchn"/>
    <w:basedOn w:val="Absatz-Standardschriftart"/>
    <w:link w:val="Kopfzeile"/>
    <w:uiPriority w:val="99"/>
    <w:rsid w:val="007A10FC"/>
  </w:style>
  <w:style w:type="paragraph" w:styleId="Fuzeile">
    <w:name w:val="footer"/>
    <w:basedOn w:val="Standard"/>
    <w:link w:val="FuzeileZchn"/>
    <w:uiPriority w:val="99"/>
    <w:unhideWhenUsed/>
    <w:rsid w:val="007A10F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uzeileZchn">
    <w:name w:val="Fußzeile Zchn"/>
    <w:basedOn w:val="Absatz-Standardschriftart"/>
    <w:link w:val="Fuzeile"/>
    <w:uiPriority w:val="99"/>
    <w:rsid w:val="007A10FC"/>
  </w:style>
  <w:style w:type="paragraph" w:customStyle="1" w:styleId="xxmsonormal">
    <w:name w:val="x_xmsonormal"/>
    <w:basedOn w:val="Standard"/>
    <w:rsid w:val="003F4208"/>
    <w:pPr>
      <w:spacing w:before="100" w:beforeAutospacing="1" w:after="100" w:afterAutospacing="1"/>
    </w:pPr>
    <w:rPr>
      <w:rFonts w:ascii="Times New Roman" w:hAnsi="Times New Roman" w:cs="Times New Roman"/>
      <w:sz w:val="24"/>
      <w:szCs w:val="24"/>
      <w:lang w:val="en-GB" w:eastAsia="en-GB"/>
    </w:rPr>
  </w:style>
  <w:style w:type="character" w:customStyle="1" w:styleId="berschrift1Zchn">
    <w:name w:val="Überschrift 1 Zchn"/>
    <w:basedOn w:val="Absatz-Standardschriftart"/>
    <w:link w:val="berschrift1"/>
    <w:uiPriority w:val="9"/>
    <w:rsid w:val="00E375FF"/>
    <w:rPr>
      <w:rFonts w:ascii="Times New Roman" w:eastAsia="Times New Roman" w:hAnsi="Times New Roman" w:cs="Times New Roman"/>
      <w:b/>
      <w:bCs/>
      <w:kern w:val="36"/>
      <w:sz w:val="48"/>
      <w:szCs w:val="48"/>
      <w:lang w:val="de-AT" w:eastAsia="de-DE"/>
    </w:rPr>
  </w:style>
  <w:style w:type="character" w:customStyle="1" w:styleId="berschrift3Zchn">
    <w:name w:val="Überschrift 3 Zchn"/>
    <w:basedOn w:val="Absatz-Standardschriftart"/>
    <w:link w:val="berschrift3"/>
    <w:uiPriority w:val="9"/>
    <w:rsid w:val="00E375FF"/>
    <w:rPr>
      <w:rFonts w:ascii="Times New Roman" w:eastAsia="Times New Roman" w:hAnsi="Times New Roman" w:cs="Times New Roman"/>
      <w:b/>
      <w:bCs/>
      <w:sz w:val="27"/>
      <w:szCs w:val="27"/>
      <w:lang w:val="de-AT" w:eastAsia="de-DE"/>
    </w:rPr>
  </w:style>
  <w:style w:type="character" w:customStyle="1" w:styleId="berschrift4Zchn">
    <w:name w:val="Überschrift 4 Zchn"/>
    <w:basedOn w:val="Absatz-Standardschriftart"/>
    <w:link w:val="berschrift4"/>
    <w:uiPriority w:val="9"/>
    <w:rsid w:val="00E375FF"/>
    <w:rPr>
      <w:rFonts w:ascii="Times New Roman" w:eastAsia="Times New Roman" w:hAnsi="Times New Roman" w:cs="Times New Roman"/>
      <w:b/>
      <w:bCs/>
      <w:sz w:val="24"/>
      <w:szCs w:val="24"/>
      <w:lang w:val="de-AT" w:eastAsia="de-DE"/>
    </w:rPr>
  </w:style>
  <w:style w:type="character" w:customStyle="1" w:styleId="field--bundle--node">
    <w:name w:val="field--bundle--node"/>
    <w:basedOn w:val="Absatz-Standardschriftart"/>
    <w:rsid w:val="00E375FF"/>
  </w:style>
  <w:style w:type="paragraph" w:styleId="KeinLeerraum">
    <w:name w:val="No Spacing"/>
    <w:basedOn w:val="Standard"/>
    <w:uiPriority w:val="1"/>
    <w:qFormat/>
    <w:rsid w:val="00E375FF"/>
    <w:pPr>
      <w:spacing w:before="100" w:beforeAutospacing="1" w:after="100" w:afterAutospacing="1"/>
    </w:pPr>
    <w:rPr>
      <w:rFonts w:ascii="Times New Roman" w:hAnsi="Times New Roman" w:cs="Times New Roman"/>
      <w:sz w:val="24"/>
      <w:szCs w:val="24"/>
    </w:rPr>
  </w:style>
  <w:style w:type="paragraph" w:styleId="StandardWeb">
    <w:name w:val="Normal (Web)"/>
    <w:basedOn w:val="Standard"/>
    <w:uiPriority w:val="99"/>
    <w:semiHidden/>
    <w:unhideWhenUsed/>
    <w:rsid w:val="00E375FF"/>
    <w:pPr>
      <w:spacing w:before="100" w:beforeAutospacing="1" w:after="100" w:afterAutospacing="1"/>
    </w:pPr>
    <w:rPr>
      <w:rFonts w:ascii="Times New Roman" w:hAnsi="Times New Roman" w:cs="Times New Roman"/>
      <w:sz w:val="24"/>
      <w:szCs w:val="24"/>
    </w:rPr>
  </w:style>
  <w:style w:type="paragraph" w:customStyle="1" w:styleId="FormatvorlageCIArial11pt">
    <w:name w:val="Formatvorlage_CI_Arial_11 pt"/>
    <w:basedOn w:val="Standard"/>
    <w:link w:val="FormatvorlageCIArial11ptZchn"/>
    <w:rsid w:val="005F298F"/>
    <w:pPr>
      <w:spacing w:before="300" w:after="300" w:line="300" w:lineRule="exact"/>
      <w:contextualSpacing/>
    </w:pPr>
    <w:rPr>
      <w:rFonts w:ascii="Arial" w:hAnsi="Arial" w:cs="Arial"/>
      <w:szCs w:val="22"/>
    </w:rPr>
  </w:style>
  <w:style w:type="character" w:customStyle="1" w:styleId="FormatvorlageCIArial11ptZchn">
    <w:name w:val="Formatvorlage_CI_Arial_11 pt Zchn"/>
    <w:link w:val="FormatvorlageCIArial11pt"/>
    <w:rsid w:val="005F298F"/>
    <w:rPr>
      <w:rFonts w:ascii="Arial" w:eastAsia="Times New Roman" w:hAnsi="Arial" w:cs="Arial"/>
      <w:sz w:val="20"/>
      <w:lang w:val="de-AT" w:eastAsia="de-DE"/>
    </w:rPr>
  </w:style>
  <w:style w:type="table" w:styleId="Tabellenraster">
    <w:name w:val="Table Grid"/>
    <w:basedOn w:val="NormaleTabelle"/>
    <w:uiPriority w:val="39"/>
    <w:rsid w:val="005F29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24CEE"/>
  </w:style>
  <w:style w:type="character" w:styleId="NichtaufgelsteErwhnung">
    <w:name w:val="Unresolved Mention"/>
    <w:basedOn w:val="Absatz-Standardschriftart"/>
    <w:uiPriority w:val="99"/>
    <w:semiHidden/>
    <w:unhideWhenUsed/>
    <w:rsid w:val="00E24CEE"/>
    <w:rPr>
      <w:color w:val="605E5C"/>
      <w:shd w:val="clear" w:color="auto" w:fill="E1DFDD"/>
    </w:rPr>
  </w:style>
  <w:style w:type="paragraph" w:styleId="Funotentext">
    <w:name w:val="footnote text"/>
    <w:basedOn w:val="Standard"/>
    <w:link w:val="FunotentextZchn"/>
    <w:uiPriority w:val="99"/>
    <w:semiHidden/>
    <w:unhideWhenUsed/>
    <w:rsid w:val="00690EFD"/>
  </w:style>
  <w:style w:type="character" w:customStyle="1" w:styleId="FunotentextZchn">
    <w:name w:val="Fußnotentext Zchn"/>
    <w:basedOn w:val="Absatz-Standardschriftart"/>
    <w:link w:val="Funotentext"/>
    <w:uiPriority w:val="99"/>
    <w:semiHidden/>
    <w:rsid w:val="00690EFD"/>
    <w:rPr>
      <w:rFonts w:ascii="Calibri" w:eastAsia="Times New Roman" w:hAnsi="Calibri" w:cs="Calibri"/>
      <w:sz w:val="20"/>
      <w:szCs w:val="20"/>
      <w:lang w:val="de-AT" w:eastAsia="de-DE"/>
    </w:rPr>
  </w:style>
  <w:style w:type="character" w:styleId="Funotenzeichen">
    <w:name w:val="footnote reference"/>
    <w:basedOn w:val="Absatz-Standardschriftart"/>
    <w:uiPriority w:val="99"/>
    <w:semiHidden/>
    <w:unhideWhenUsed/>
    <w:rsid w:val="00690EFD"/>
    <w:rPr>
      <w:vertAlign w:val="superscript"/>
    </w:rPr>
  </w:style>
  <w:style w:type="character" w:customStyle="1" w:styleId="jsgrdq">
    <w:name w:val="jsgrdq"/>
    <w:basedOn w:val="Absatz-Standardschriftart"/>
    <w:rsid w:val="0057029D"/>
  </w:style>
  <w:style w:type="paragraph" w:styleId="Aufzhlungszeichen">
    <w:name w:val="List Bullet"/>
    <w:basedOn w:val="Standard"/>
    <w:uiPriority w:val="9"/>
    <w:qFormat/>
    <w:rsid w:val="00192A02"/>
    <w:pPr>
      <w:numPr>
        <w:numId w:val="12"/>
      </w:numPr>
      <w:spacing w:after="120" w:line="259" w:lineRule="auto"/>
    </w:pPr>
    <w:rPr>
      <w:rFonts w:asciiTheme="minorHAnsi" w:eastAsiaTheme="minorHAnsi" w:hAnsiTheme="minorHAnsi" w:cstheme="minorBidi"/>
      <w:color w:val="595959" w:themeColor="text1" w:themeTint="A6"/>
      <w:sz w:val="30"/>
      <w:szCs w:val="30"/>
      <w:lang w:val="de-DE" w:eastAsia="ja-JP"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3969">
      <w:bodyDiv w:val="1"/>
      <w:marLeft w:val="0"/>
      <w:marRight w:val="0"/>
      <w:marTop w:val="0"/>
      <w:marBottom w:val="0"/>
      <w:divBdr>
        <w:top w:val="none" w:sz="0" w:space="0" w:color="auto"/>
        <w:left w:val="none" w:sz="0" w:space="0" w:color="auto"/>
        <w:bottom w:val="none" w:sz="0" w:space="0" w:color="auto"/>
        <w:right w:val="none" w:sz="0" w:space="0" w:color="auto"/>
      </w:divBdr>
    </w:div>
    <w:div w:id="284040884">
      <w:bodyDiv w:val="1"/>
      <w:marLeft w:val="0"/>
      <w:marRight w:val="0"/>
      <w:marTop w:val="0"/>
      <w:marBottom w:val="0"/>
      <w:divBdr>
        <w:top w:val="none" w:sz="0" w:space="0" w:color="auto"/>
        <w:left w:val="none" w:sz="0" w:space="0" w:color="auto"/>
        <w:bottom w:val="none" w:sz="0" w:space="0" w:color="auto"/>
        <w:right w:val="none" w:sz="0" w:space="0" w:color="auto"/>
      </w:divBdr>
      <w:divsChild>
        <w:div w:id="7328468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55747411">
      <w:bodyDiv w:val="1"/>
      <w:marLeft w:val="0"/>
      <w:marRight w:val="0"/>
      <w:marTop w:val="0"/>
      <w:marBottom w:val="0"/>
      <w:divBdr>
        <w:top w:val="none" w:sz="0" w:space="0" w:color="auto"/>
        <w:left w:val="none" w:sz="0" w:space="0" w:color="auto"/>
        <w:bottom w:val="none" w:sz="0" w:space="0" w:color="auto"/>
        <w:right w:val="none" w:sz="0" w:space="0" w:color="auto"/>
      </w:divBdr>
      <w:divsChild>
        <w:div w:id="145830080">
          <w:marLeft w:val="0"/>
          <w:marRight w:val="0"/>
          <w:marTop w:val="0"/>
          <w:marBottom w:val="0"/>
          <w:divBdr>
            <w:top w:val="none" w:sz="0" w:space="0" w:color="auto"/>
            <w:left w:val="none" w:sz="0" w:space="0" w:color="auto"/>
            <w:bottom w:val="none" w:sz="0" w:space="0" w:color="auto"/>
            <w:right w:val="none" w:sz="0" w:space="0" w:color="auto"/>
          </w:divBdr>
        </w:div>
        <w:div w:id="585766167">
          <w:marLeft w:val="0"/>
          <w:marRight w:val="0"/>
          <w:marTop w:val="0"/>
          <w:marBottom w:val="0"/>
          <w:divBdr>
            <w:top w:val="none" w:sz="0" w:space="0" w:color="auto"/>
            <w:left w:val="none" w:sz="0" w:space="0" w:color="auto"/>
            <w:bottom w:val="none" w:sz="0" w:space="0" w:color="auto"/>
            <w:right w:val="none" w:sz="0" w:space="0" w:color="auto"/>
          </w:divBdr>
          <w:divsChild>
            <w:div w:id="1911496510">
              <w:marLeft w:val="0"/>
              <w:marRight w:val="0"/>
              <w:marTop w:val="0"/>
              <w:marBottom w:val="0"/>
              <w:divBdr>
                <w:top w:val="none" w:sz="0" w:space="0" w:color="auto"/>
                <w:left w:val="none" w:sz="0" w:space="0" w:color="auto"/>
                <w:bottom w:val="none" w:sz="0" w:space="0" w:color="auto"/>
                <w:right w:val="none" w:sz="0" w:space="0" w:color="auto"/>
              </w:divBdr>
              <w:divsChild>
                <w:div w:id="1459254450">
                  <w:marLeft w:val="0"/>
                  <w:marRight w:val="0"/>
                  <w:marTop w:val="0"/>
                  <w:marBottom w:val="0"/>
                  <w:divBdr>
                    <w:top w:val="none" w:sz="0" w:space="0" w:color="auto"/>
                    <w:left w:val="none" w:sz="0" w:space="0" w:color="auto"/>
                    <w:bottom w:val="none" w:sz="0" w:space="0" w:color="auto"/>
                    <w:right w:val="none" w:sz="0" w:space="0" w:color="auto"/>
                  </w:divBdr>
                  <w:divsChild>
                    <w:div w:id="485437769">
                      <w:marLeft w:val="0"/>
                      <w:marRight w:val="0"/>
                      <w:marTop w:val="0"/>
                      <w:marBottom w:val="0"/>
                      <w:divBdr>
                        <w:top w:val="none" w:sz="0" w:space="0" w:color="auto"/>
                        <w:left w:val="none" w:sz="0" w:space="0" w:color="auto"/>
                        <w:bottom w:val="none" w:sz="0" w:space="0" w:color="auto"/>
                        <w:right w:val="none" w:sz="0" w:space="0" w:color="auto"/>
                      </w:divBdr>
                      <w:divsChild>
                        <w:div w:id="111471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69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986662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86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0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14935937">
      <w:bodyDiv w:val="1"/>
      <w:marLeft w:val="0"/>
      <w:marRight w:val="0"/>
      <w:marTop w:val="0"/>
      <w:marBottom w:val="0"/>
      <w:divBdr>
        <w:top w:val="none" w:sz="0" w:space="0" w:color="auto"/>
        <w:left w:val="none" w:sz="0" w:space="0" w:color="auto"/>
        <w:bottom w:val="none" w:sz="0" w:space="0" w:color="auto"/>
        <w:right w:val="none" w:sz="0" w:space="0" w:color="auto"/>
      </w:divBdr>
      <w:divsChild>
        <w:div w:id="103506018">
          <w:marLeft w:val="0"/>
          <w:marRight w:val="0"/>
          <w:marTop w:val="0"/>
          <w:marBottom w:val="0"/>
          <w:divBdr>
            <w:top w:val="none" w:sz="0" w:space="0" w:color="auto"/>
            <w:left w:val="none" w:sz="0" w:space="0" w:color="auto"/>
            <w:bottom w:val="none" w:sz="0" w:space="0" w:color="auto"/>
            <w:right w:val="none" w:sz="0" w:space="0" w:color="auto"/>
          </w:divBdr>
          <w:divsChild>
            <w:div w:id="658844992">
              <w:marLeft w:val="0"/>
              <w:marRight w:val="0"/>
              <w:marTop w:val="0"/>
              <w:marBottom w:val="0"/>
              <w:divBdr>
                <w:top w:val="none" w:sz="0" w:space="0" w:color="auto"/>
                <w:left w:val="none" w:sz="0" w:space="0" w:color="auto"/>
                <w:bottom w:val="none" w:sz="0" w:space="0" w:color="auto"/>
                <w:right w:val="none" w:sz="0" w:space="0" w:color="auto"/>
              </w:divBdr>
              <w:divsChild>
                <w:div w:id="1310400237">
                  <w:marLeft w:val="0"/>
                  <w:marRight w:val="0"/>
                  <w:marTop w:val="0"/>
                  <w:marBottom w:val="0"/>
                  <w:divBdr>
                    <w:top w:val="none" w:sz="0" w:space="0" w:color="auto"/>
                    <w:left w:val="none" w:sz="0" w:space="0" w:color="auto"/>
                    <w:bottom w:val="none" w:sz="0" w:space="0" w:color="auto"/>
                    <w:right w:val="none" w:sz="0" w:space="0" w:color="auto"/>
                  </w:divBdr>
                  <w:divsChild>
                    <w:div w:id="1512141731">
                      <w:marLeft w:val="0"/>
                      <w:marRight w:val="0"/>
                      <w:marTop w:val="0"/>
                      <w:marBottom w:val="0"/>
                      <w:divBdr>
                        <w:top w:val="none" w:sz="0" w:space="0" w:color="auto"/>
                        <w:left w:val="none" w:sz="0" w:space="0" w:color="auto"/>
                        <w:bottom w:val="none" w:sz="0" w:space="0" w:color="auto"/>
                        <w:right w:val="none" w:sz="0" w:space="0" w:color="auto"/>
                      </w:divBdr>
                    </w:div>
                  </w:divsChild>
                </w:div>
                <w:div w:id="508565216">
                  <w:marLeft w:val="0"/>
                  <w:marRight w:val="0"/>
                  <w:marTop w:val="0"/>
                  <w:marBottom w:val="0"/>
                  <w:divBdr>
                    <w:top w:val="none" w:sz="0" w:space="0" w:color="auto"/>
                    <w:left w:val="none" w:sz="0" w:space="0" w:color="auto"/>
                    <w:bottom w:val="none" w:sz="0" w:space="0" w:color="auto"/>
                    <w:right w:val="none" w:sz="0" w:space="0" w:color="auto"/>
                  </w:divBdr>
                  <w:divsChild>
                    <w:div w:id="135148101">
                      <w:marLeft w:val="0"/>
                      <w:marRight w:val="0"/>
                      <w:marTop w:val="0"/>
                      <w:marBottom w:val="0"/>
                      <w:divBdr>
                        <w:top w:val="none" w:sz="0" w:space="0" w:color="auto"/>
                        <w:left w:val="none" w:sz="0" w:space="0" w:color="auto"/>
                        <w:bottom w:val="none" w:sz="0" w:space="0" w:color="auto"/>
                        <w:right w:val="none" w:sz="0" w:space="0" w:color="auto"/>
                      </w:divBdr>
                    </w:div>
                    <w:div w:id="2152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6074">
      <w:bodyDiv w:val="1"/>
      <w:marLeft w:val="0"/>
      <w:marRight w:val="0"/>
      <w:marTop w:val="0"/>
      <w:marBottom w:val="0"/>
      <w:divBdr>
        <w:top w:val="none" w:sz="0" w:space="0" w:color="auto"/>
        <w:left w:val="none" w:sz="0" w:space="0" w:color="auto"/>
        <w:bottom w:val="none" w:sz="0" w:space="0" w:color="auto"/>
        <w:right w:val="none" w:sz="0" w:space="0" w:color="auto"/>
      </w:divBdr>
      <w:divsChild>
        <w:div w:id="1584148465">
          <w:marLeft w:val="0"/>
          <w:marRight w:val="0"/>
          <w:marTop w:val="0"/>
          <w:marBottom w:val="0"/>
          <w:divBdr>
            <w:top w:val="none" w:sz="0" w:space="0" w:color="auto"/>
            <w:left w:val="none" w:sz="0" w:space="0" w:color="auto"/>
            <w:bottom w:val="none" w:sz="0" w:space="0" w:color="auto"/>
            <w:right w:val="none" w:sz="0" w:space="0" w:color="auto"/>
          </w:divBdr>
          <w:divsChild>
            <w:div w:id="73672012">
              <w:marLeft w:val="0"/>
              <w:marRight w:val="0"/>
              <w:marTop w:val="0"/>
              <w:marBottom w:val="0"/>
              <w:divBdr>
                <w:top w:val="none" w:sz="0" w:space="0" w:color="auto"/>
                <w:left w:val="none" w:sz="0" w:space="0" w:color="auto"/>
                <w:bottom w:val="none" w:sz="0" w:space="0" w:color="auto"/>
                <w:right w:val="none" w:sz="0" w:space="0" w:color="auto"/>
              </w:divBdr>
              <w:divsChild>
                <w:div w:id="833490184">
                  <w:marLeft w:val="0"/>
                  <w:marRight w:val="0"/>
                  <w:marTop w:val="0"/>
                  <w:marBottom w:val="0"/>
                  <w:divBdr>
                    <w:top w:val="none" w:sz="0" w:space="0" w:color="auto"/>
                    <w:left w:val="none" w:sz="0" w:space="0" w:color="auto"/>
                    <w:bottom w:val="none" w:sz="0" w:space="0" w:color="auto"/>
                    <w:right w:val="none" w:sz="0" w:space="0" w:color="auto"/>
                  </w:divBdr>
                  <w:divsChild>
                    <w:div w:id="1714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2826">
      <w:bodyDiv w:val="1"/>
      <w:marLeft w:val="0"/>
      <w:marRight w:val="0"/>
      <w:marTop w:val="0"/>
      <w:marBottom w:val="0"/>
      <w:divBdr>
        <w:top w:val="none" w:sz="0" w:space="0" w:color="auto"/>
        <w:left w:val="none" w:sz="0" w:space="0" w:color="auto"/>
        <w:bottom w:val="none" w:sz="0" w:space="0" w:color="auto"/>
        <w:right w:val="none" w:sz="0" w:space="0" w:color="auto"/>
      </w:divBdr>
      <w:divsChild>
        <w:div w:id="1324964448">
          <w:marLeft w:val="0"/>
          <w:marRight w:val="0"/>
          <w:marTop w:val="0"/>
          <w:marBottom w:val="0"/>
          <w:divBdr>
            <w:top w:val="none" w:sz="0" w:space="0" w:color="auto"/>
            <w:left w:val="none" w:sz="0" w:space="0" w:color="auto"/>
            <w:bottom w:val="none" w:sz="0" w:space="0" w:color="auto"/>
            <w:right w:val="none" w:sz="0" w:space="0" w:color="auto"/>
          </w:divBdr>
          <w:divsChild>
            <w:div w:id="465198619">
              <w:marLeft w:val="0"/>
              <w:marRight w:val="0"/>
              <w:marTop w:val="0"/>
              <w:marBottom w:val="0"/>
              <w:divBdr>
                <w:top w:val="none" w:sz="0" w:space="0" w:color="auto"/>
                <w:left w:val="none" w:sz="0" w:space="0" w:color="auto"/>
                <w:bottom w:val="none" w:sz="0" w:space="0" w:color="auto"/>
                <w:right w:val="none" w:sz="0" w:space="0" w:color="auto"/>
              </w:divBdr>
              <w:divsChild>
                <w:div w:id="1468937637">
                  <w:marLeft w:val="0"/>
                  <w:marRight w:val="0"/>
                  <w:marTop w:val="0"/>
                  <w:marBottom w:val="0"/>
                  <w:divBdr>
                    <w:top w:val="none" w:sz="0" w:space="0" w:color="auto"/>
                    <w:left w:val="none" w:sz="0" w:space="0" w:color="auto"/>
                    <w:bottom w:val="none" w:sz="0" w:space="0" w:color="auto"/>
                    <w:right w:val="none" w:sz="0" w:space="0" w:color="auto"/>
                  </w:divBdr>
                  <w:divsChild>
                    <w:div w:id="1383364155">
                      <w:marLeft w:val="0"/>
                      <w:marRight w:val="0"/>
                      <w:marTop w:val="0"/>
                      <w:marBottom w:val="0"/>
                      <w:divBdr>
                        <w:top w:val="none" w:sz="0" w:space="0" w:color="auto"/>
                        <w:left w:val="none" w:sz="0" w:space="0" w:color="auto"/>
                        <w:bottom w:val="none" w:sz="0" w:space="0" w:color="auto"/>
                        <w:right w:val="none" w:sz="0" w:space="0" w:color="auto"/>
                      </w:divBdr>
                    </w:div>
                    <w:div w:id="17549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4844</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Evergreen Garden Care</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Linehan, Ted</dc:creator>
  <cp:keywords/>
  <dc:description/>
  <cp:lastModifiedBy>Christina Koblinger - Plenos</cp:lastModifiedBy>
  <cp:revision>5</cp:revision>
  <cp:lastPrinted>2022-11-09T14:42:00Z</cp:lastPrinted>
  <dcterms:created xsi:type="dcterms:W3CDTF">2022-12-12T10:53:00Z</dcterms:created>
  <dcterms:modified xsi:type="dcterms:W3CDTF">2022-12-13T10:53:00Z</dcterms:modified>
</cp:coreProperties>
</file>